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EAE6" w14:textId="77777777" w:rsidR="003A7C09" w:rsidRPr="00D401FA" w:rsidRDefault="003A7C09" w:rsidP="00D401FA">
      <w:pPr>
        <w:spacing w:line="278" w:lineRule="auto"/>
        <w:ind w:right="523"/>
        <w:jc w:val="center"/>
        <w:rPr>
          <w:rFonts w:cs="Times New Roman"/>
          <w:b/>
          <w:bCs/>
          <w:caps/>
          <w:noProof/>
          <w:lang w:val="en-US"/>
        </w:rPr>
      </w:pPr>
      <w:r w:rsidRPr="00D401FA">
        <w:rPr>
          <w:rFonts w:cs="Times New Roman"/>
          <w:b/>
          <w:bCs/>
          <w:caps/>
          <w:noProof/>
          <w:lang w:val="en-US"/>
        </w:rPr>
        <w:t>RÉPUBLIQUE ISLAMIQUE DE MAURITANIE</w:t>
      </w:r>
    </w:p>
    <w:p w14:paraId="0D95606E" w14:textId="6D142741" w:rsidR="00D401FA" w:rsidRPr="00D401FA" w:rsidRDefault="00D401FA" w:rsidP="00216CAF">
      <w:pPr>
        <w:jc w:val="center"/>
        <w:rPr>
          <w:rFonts w:ascii="Aptos" w:hAnsi="Aptos"/>
          <w:b/>
          <w:bCs/>
          <w:i/>
          <w:iCs/>
        </w:rPr>
      </w:pPr>
      <w:r w:rsidRPr="00D401FA">
        <w:rPr>
          <w:rFonts w:ascii="Times New Roman" w:hAnsi="Times New Roman" w:cs="Times New Roman"/>
          <w:b/>
          <w:bCs/>
          <w:noProof/>
          <w:lang w:eastAsia="fr-FR"/>
        </w:rPr>
        <w:drawing>
          <wp:inline distT="0" distB="0" distL="0" distR="0" wp14:anchorId="3932EAC4" wp14:editId="7165284F">
            <wp:extent cx="827772" cy="827772"/>
            <wp:effectExtent l="0" t="0" r="0" b="0"/>
            <wp:docPr id="2" name="Image 18" descr="A red and yellow circle with a star and palm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8" descr="A red and yellow circle with a star and palm tre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1623" cy="831623"/>
                    </a:xfrm>
                    <a:prstGeom prst="rect">
                      <a:avLst/>
                    </a:prstGeom>
                    <a:noFill/>
                    <a:ln w="9525">
                      <a:noFill/>
                      <a:miter lim="800000"/>
                      <a:headEnd/>
                      <a:tailEnd/>
                    </a:ln>
                  </pic:spPr>
                </pic:pic>
              </a:graphicData>
            </a:graphic>
          </wp:inline>
        </w:drawing>
      </w:r>
    </w:p>
    <w:p w14:paraId="5C957496" w14:textId="36A1222B" w:rsidR="003A7C09" w:rsidRPr="00D401FA" w:rsidRDefault="003A7C09" w:rsidP="00216CAF">
      <w:pPr>
        <w:jc w:val="center"/>
        <w:rPr>
          <w:rFonts w:ascii="Aptos" w:hAnsi="Aptos"/>
          <w:b/>
          <w:bCs/>
          <w:i/>
          <w:iCs/>
        </w:rPr>
      </w:pPr>
      <w:r w:rsidRPr="00D401FA">
        <w:rPr>
          <w:rFonts w:ascii="Aptos" w:hAnsi="Aptos"/>
          <w:b/>
          <w:bCs/>
          <w:i/>
          <w:iCs/>
        </w:rPr>
        <w:t>Programme axé sur les résultats (</w:t>
      </w:r>
      <w:proofErr w:type="spellStart"/>
      <w:r w:rsidRPr="00D401FA">
        <w:rPr>
          <w:rFonts w:ascii="Aptos" w:hAnsi="Aptos"/>
          <w:b/>
          <w:bCs/>
          <w:i/>
          <w:iCs/>
        </w:rPr>
        <w:t>PforR</w:t>
      </w:r>
      <w:proofErr w:type="spellEnd"/>
      <w:r w:rsidRPr="00D401FA">
        <w:rPr>
          <w:rFonts w:ascii="Aptos" w:hAnsi="Aptos"/>
          <w:b/>
          <w:bCs/>
          <w:i/>
          <w:iCs/>
        </w:rPr>
        <w:t>)</w:t>
      </w:r>
    </w:p>
    <w:p w14:paraId="6CA68212" w14:textId="77777777" w:rsidR="003A7C09" w:rsidRPr="00D401FA" w:rsidRDefault="003A7C09" w:rsidP="00216CAF">
      <w:pPr>
        <w:jc w:val="center"/>
        <w:rPr>
          <w:rFonts w:ascii="Aptos" w:hAnsi="Aptos"/>
          <w:b/>
          <w:bCs/>
        </w:rPr>
      </w:pPr>
      <w:r w:rsidRPr="00D401FA">
        <w:rPr>
          <w:rFonts w:ascii="Aptos" w:hAnsi="Aptos"/>
          <w:b/>
          <w:bCs/>
        </w:rPr>
        <w:t>PROGRAMME D’AMÉLIORATION DE LA QUALITÉ, DES RÉSULTATS ET DE L’ACCÈS À L’ÉDUCATION POUR TOUS EN MAURITANIE (IQRAA)</w:t>
      </w:r>
      <w:r w:rsidRPr="00D401FA">
        <w:rPr>
          <w:rFonts w:ascii="Aptos" w:hAnsi="Aptos"/>
          <w:b/>
          <w:bCs/>
        </w:rPr>
        <w:br/>
        <w:t>(</w:t>
      </w:r>
      <w:r w:rsidRPr="00D401FA">
        <w:rPr>
          <w:rFonts w:ascii="Aptos" w:hAnsi="Aptos"/>
          <w:b/>
          <w:bCs/>
          <w:i/>
          <w:iCs/>
        </w:rPr>
        <w:t>P509243</w:t>
      </w:r>
      <w:r w:rsidRPr="00D401FA">
        <w:rPr>
          <w:rFonts w:ascii="Aptos" w:hAnsi="Aptos"/>
          <w:b/>
          <w:bCs/>
        </w:rPr>
        <w:t>)</w:t>
      </w:r>
    </w:p>
    <w:tbl>
      <w:tblPr>
        <w:tblStyle w:val="TableGrid"/>
        <w:tblW w:w="0" w:type="auto"/>
        <w:tblLook w:val="04A0" w:firstRow="1" w:lastRow="0" w:firstColumn="1" w:lastColumn="0" w:noHBand="0" w:noVBand="1"/>
      </w:tblPr>
      <w:tblGrid>
        <w:gridCol w:w="9062"/>
      </w:tblGrid>
      <w:tr w:rsidR="00D401FA" w:rsidRPr="00D401FA" w14:paraId="4F066576" w14:textId="77777777" w:rsidTr="00D401FA">
        <w:tc>
          <w:tcPr>
            <w:tcW w:w="9062" w:type="dxa"/>
          </w:tcPr>
          <w:p w14:paraId="4D4774C6" w14:textId="77777777" w:rsidR="00D401FA" w:rsidRPr="00D401FA" w:rsidRDefault="00D401FA" w:rsidP="00D401FA">
            <w:pPr>
              <w:jc w:val="center"/>
              <w:rPr>
                <w:rFonts w:ascii="Aptos" w:hAnsi="Aptos"/>
              </w:rPr>
            </w:pPr>
          </w:p>
          <w:p w14:paraId="14BF5347" w14:textId="77777777" w:rsidR="00D401FA" w:rsidRPr="00D401FA" w:rsidRDefault="00D401FA" w:rsidP="00D401FA">
            <w:pPr>
              <w:jc w:val="center"/>
              <w:rPr>
                <w:rFonts w:ascii="Aptos" w:hAnsi="Aptos"/>
                <w:b/>
                <w:bCs/>
              </w:rPr>
            </w:pPr>
            <w:r w:rsidRPr="00D401FA">
              <w:rPr>
                <w:rFonts w:ascii="Aptos" w:hAnsi="Aptos"/>
                <w:b/>
                <w:bCs/>
              </w:rPr>
              <w:t xml:space="preserve">ÉVALUATION DES SYSTÈMES ENVIRONNEMENTAUX </w:t>
            </w:r>
          </w:p>
          <w:p w14:paraId="23BA213E" w14:textId="47B563B8" w:rsidR="00D401FA" w:rsidRPr="00D401FA" w:rsidRDefault="00D401FA" w:rsidP="00D401FA">
            <w:pPr>
              <w:jc w:val="center"/>
              <w:rPr>
                <w:rFonts w:ascii="Aptos" w:hAnsi="Aptos"/>
                <w:b/>
                <w:bCs/>
              </w:rPr>
            </w:pPr>
            <w:r w:rsidRPr="00D401FA">
              <w:rPr>
                <w:rFonts w:ascii="Aptos" w:hAnsi="Aptos"/>
                <w:b/>
                <w:bCs/>
              </w:rPr>
              <w:t>ET SOCIAUX (ESES)</w:t>
            </w:r>
          </w:p>
          <w:p w14:paraId="3C4C1D22" w14:textId="77777777" w:rsidR="00D401FA" w:rsidRPr="00D401FA" w:rsidRDefault="00D401FA" w:rsidP="00216CAF">
            <w:pPr>
              <w:jc w:val="center"/>
              <w:rPr>
                <w:rFonts w:ascii="Aptos" w:hAnsi="Aptos"/>
              </w:rPr>
            </w:pPr>
          </w:p>
        </w:tc>
      </w:tr>
    </w:tbl>
    <w:p w14:paraId="1BCE23A6" w14:textId="27EC19C4" w:rsidR="00D401FA" w:rsidRPr="00D401FA" w:rsidRDefault="00D401FA" w:rsidP="00216CAF">
      <w:pPr>
        <w:jc w:val="center"/>
        <w:rPr>
          <w:rFonts w:ascii="Aptos" w:hAnsi="Aptos"/>
        </w:rPr>
      </w:pPr>
      <w:r w:rsidRPr="00D401FA">
        <w:rPr>
          <w:rFonts w:cs="Times New Roman"/>
          <w:b/>
          <w:bCs/>
          <w:noProof/>
        </w:rPr>
        <w:drawing>
          <wp:inline distT="0" distB="0" distL="0" distR="0" wp14:anchorId="27A53219" wp14:editId="6E6605ED">
            <wp:extent cx="4841508" cy="3420383"/>
            <wp:effectExtent l="0" t="0" r="0" b="8890"/>
            <wp:docPr id="1592542666" name="Picture 2" descr="A group of people holding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42666" name="Picture 2" descr="A group of people holding signs&#10;&#10;AI-generated content may be incorrect."/>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886630" cy="3452261"/>
                    </a:xfrm>
                    <a:prstGeom prst="rect">
                      <a:avLst/>
                    </a:prstGeom>
                    <a:ln>
                      <a:noFill/>
                    </a:ln>
                    <a:extLst>
                      <a:ext uri="{53640926-AAD7-44D8-BBD7-CCE9431645EC}">
                        <a14:shadowObscured xmlns:a14="http://schemas.microsoft.com/office/drawing/2010/main"/>
                      </a:ext>
                    </a:extLst>
                  </pic:spPr>
                </pic:pic>
              </a:graphicData>
            </a:graphic>
          </wp:inline>
        </w:drawing>
      </w:r>
    </w:p>
    <w:p w14:paraId="7B8C8E65" w14:textId="77777777" w:rsidR="003A7C09" w:rsidRPr="00D401FA" w:rsidRDefault="003A7C09" w:rsidP="00216CAF">
      <w:pPr>
        <w:jc w:val="center"/>
        <w:rPr>
          <w:rFonts w:ascii="Aptos" w:hAnsi="Aptos"/>
          <w:b/>
          <w:bCs/>
        </w:rPr>
      </w:pPr>
      <w:r w:rsidRPr="00D401FA">
        <w:rPr>
          <w:rFonts w:ascii="Aptos" w:hAnsi="Aptos"/>
          <w:b/>
          <w:bCs/>
        </w:rPr>
        <w:t>Rapport préliminaire</w:t>
      </w:r>
    </w:p>
    <w:p w14:paraId="4F386C30" w14:textId="77777777" w:rsidR="00D401FA" w:rsidRPr="00D401FA" w:rsidRDefault="00D401FA" w:rsidP="00216CAF">
      <w:pPr>
        <w:jc w:val="center"/>
        <w:rPr>
          <w:rFonts w:ascii="Aptos" w:hAnsi="Aptos"/>
        </w:rPr>
      </w:pPr>
    </w:p>
    <w:p w14:paraId="5A29F60B" w14:textId="77777777" w:rsidR="00D401FA" w:rsidRPr="00D401FA" w:rsidRDefault="00D401FA" w:rsidP="00216CAF">
      <w:pPr>
        <w:jc w:val="center"/>
        <w:rPr>
          <w:rFonts w:ascii="Aptos" w:hAnsi="Aptos"/>
        </w:rPr>
      </w:pPr>
    </w:p>
    <w:p w14:paraId="765226D3" w14:textId="77777777" w:rsidR="00D401FA" w:rsidRPr="00D401FA" w:rsidRDefault="003A7C09" w:rsidP="00216CAF">
      <w:pPr>
        <w:jc w:val="center"/>
        <w:rPr>
          <w:rFonts w:ascii="Aptos" w:hAnsi="Aptos"/>
        </w:rPr>
      </w:pPr>
      <w:r w:rsidRPr="00D401FA">
        <w:rPr>
          <w:rFonts w:ascii="Aptos" w:hAnsi="Aptos"/>
          <w:b/>
          <w:bCs/>
        </w:rPr>
        <w:t>Mars 2026</w:t>
      </w:r>
      <w:r w:rsidRPr="00D401FA">
        <w:rPr>
          <w:rFonts w:ascii="Aptos" w:hAnsi="Aptos"/>
          <w:b/>
          <w:bCs/>
        </w:rPr>
        <w:br/>
      </w:r>
    </w:p>
    <w:p w14:paraId="7C6E2D07" w14:textId="77777777" w:rsidR="00D401FA" w:rsidRPr="00D401FA" w:rsidRDefault="00D401FA">
      <w:pPr>
        <w:rPr>
          <w:rFonts w:ascii="Aptos" w:hAnsi="Aptos"/>
        </w:rPr>
      </w:pPr>
      <w:r w:rsidRPr="00D401FA">
        <w:rPr>
          <w:rFonts w:ascii="Aptos" w:hAnsi="Aptos"/>
        </w:rPr>
        <w:br w:type="page"/>
      </w:r>
    </w:p>
    <w:p w14:paraId="6A2597CD" w14:textId="0AA44A5C" w:rsidR="00182622" w:rsidRPr="00182622" w:rsidRDefault="003A7C09" w:rsidP="00182622">
      <w:pPr>
        <w:jc w:val="center"/>
        <w:rPr>
          <w:rFonts w:ascii="Aptos" w:hAnsi="Aptos"/>
          <w:b/>
          <w:bCs/>
          <w:noProof/>
        </w:rPr>
      </w:pPr>
      <w:r w:rsidRPr="00D401FA">
        <w:rPr>
          <w:rFonts w:ascii="Aptos" w:hAnsi="Aptos"/>
          <w:b/>
          <w:bCs/>
        </w:rPr>
        <w:lastRenderedPageBreak/>
        <w:t>Table des matières</w:t>
      </w:r>
      <w:r w:rsidR="00182622">
        <w:rPr>
          <w:rFonts w:ascii="Aptos" w:hAnsi="Aptos"/>
        </w:rPr>
        <w:fldChar w:fldCharType="begin"/>
      </w:r>
      <w:r w:rsidR="00182622">
        <w:rPr>
          <w:rFonts w:ascii="Aptos" w:hAnsi="Aptos"/>
        </w:rPr>
        <w:instrText xml:space="preserve"> TOC \o "1-2" \h \z \u </w:instrText>
      </w:r>
      <w:r w:rsidR="00182622">
        <w:rPr>
          <w:rFonts w:ascii="Aptos" w:hAnsi="Aptos"/>
        </w:rPr>
        <w:fldChar w:fldCharType="separate"/>
      </w:r>
    </w:p>
    <w:sdt>
      <w:sdtPr>
        <w:rPr>
          <w:rFonts w:asciiTheme="minorHAnsi" w:eastAsiaTheme="minorHAnsi" w:hAnsiTheme="minorHAnsi" w:cstheme="minorBidi"/>
          <w:noProof/>
          <w:color w:val="auto"/>
          <w:kern w:val="2"/>
          <w:sz w:val="22"/>
          <w:szCs w:val="22"/>
          <w:lang w:eastAsia="en-US"/>
          <w14:ligatures w14:val="standardContextual"/>
        </w:rPr>
        <w:id w:val="331800016"/>
        <w:docPartObj>
          <w:docPartGallery w:val="Table of Contents"/>
          <w:docPartUnique/>
        </w:docPartObj>
      </w:sdtPr>
      <w:sdtEndPr>
        <w:rPr>
          <w:b/>
          <w:bCs/>
        </w:rPr>
      </w:sdtEndPr>
      <w:sdtContent>
        <w:p w14:paraId="3F3D92C7" w14:textId="003B9AC1" w:rsidR="00182622" w:rsidRDefault="00182622">
          <w:pPr>
            <w:pStyle w:val="TOCHeading"/>
            <w:rPr>
              <w:noProof/>
            </w:rPr>
          </w:pPr>
        </w:p>
        <w:p w14:paraId="07FDF58B" w14:textId="5842D32A" w:rsidR="00182622" w:rsidRDefault="00182622">
          <w:pPr>
            <w:pStyle w:val="TOC1"/>
            <w:tabs>
              <w:tab w:val="right" w:leader="dot" w:pos="9062"/>
            </w:tabs>
            <w:rPr>
              <w:rFonts w:eastAsiaTheme="minorEastAsia"/>
              <w:noProof/>
              <w:sz w:val="24"/>
              <w:szCs w:val="24"/>
              <w:lang w:eastAsia="fr-FR"/>
            </w:rPr>
          </w:pPr>
          <w:r>
            <w:rPr>
              <w:noProof/>
            </w:rPr>
            <w:fldChar w:fldCharType="begin"/>
          </w:r>
          <w:r>
            <w:rPr>
              <w:noProof/>
            </w:rPr>
            <w:instrText xml:space="preserve"> TOC \o "1-3" \h \z \u </w:instrText>
          </w:r>
          <w:r>
            <w:rPr>
              <w:noProof/>
            </w:rPr>
            <w:fldChar w:fldCharType="separate"/>
          </w:r>
          <w:hyperlink w:anchor="_Toc227686340" w:history="1">
            <w:r w:rsidRPr="00E43CF2">
              <w:rPr>
                <w:rStyle w:val="Hyperlink"/>
                <w:noProof/>
              </w:rPr>
              <w:t>Acronymes et abréviations</w:t>
            </w:r>
            <w:r>
              <w:rPr>
                <w:noProof/>
                <w:webHidden/>
              </w:rPr>
              <w:tab/>
            </w:r>
            <w:r>
              <w:rPr>
                <w:noProof/>
                <w:webHidden/>
              </w:rPr>
              <w:fldChar w:fldCharType="begin"/>
            </w:r>
            <w:r>
              <w:rPr>
                <w:noProof/>
                <w:webHidden/>
              </w:rPr>
              <w:instrText xml:space="preserve"> PAGEREF _Toc227686340 \h </w:instrText>
            </w:r>
            <w:r>
              <w:rPr>
                <w:noProof/>
                <w:webHidden/>
              </w:rPr>
            </w:r>
            <w:r>
              <w:rPr>
                <w:noProof/>
                <w:webHidden/>
              </w:rPr>
              <w:fldChar w:fldCharType="separate"/>
            </w:r>
            <w:r w:rsidR="00B34DF3">
              <w:rPr>
                <w:noProof/>
                <w:webHidden/>
              </w:rPr>
              <w:t>4</w:t>
            </w:r>
            <w:r>
              <w:rPr>
                <w:noProof/>
                <w:webHidden/>
              </w:rPr>
              <w:fldChar w:fldCharType="end"/>
            </w:r>
          </w:hyperlink>
        </w:p>
        <w:p w14:paraId="34C19C14" w14:textId="5A87ACCF" w:rsidR="00182622" w:rsidRDefault="00182622">
          <w:pPr>
            <w:pStyle w:val="TOC1"/>
            <w:tabs>
              <w:tab w:val="left" w:pos="440"/>
              <w:tab w:val="right" w:leader="dot" w:pos="9062"/>
            </w:tabs>
            <w:rPr>
              <w:rFonts w:eastAsiaTheme="minorEastAsia"/>
              <w:noProof/>
              <w:sz w:val="24"/>
              <w:szCs w:val="24"/>
              <w:lang w:eastAsia="fr-FR"/>
            </w:rPr>
          </w:pPr>
          <w:hyperlink w:anchor="_Toc227686341" w:history="1">
            <w:r w:rsidRPr="00E43CF2">
              <w:rPr>
                <w:rStyle w:val="Hyperlink"/>
                <w:noProof/>
              </w:rPr>
              <w:t>I.</w:t>
            </w:r>
            <w:r>
              <w:rPr>
                <w:rFonts w:eastAsiaTheme="minorEastAsia"/>
                <w:noProof/>
                <w:sz w:val="24"/>
                <w:szCs w:val="24"/>
                <w:lang w:eastAsia="fr-FR"/>
              </w:rPr>
              <w:tab/>
            </w:r>
            <w:r w:rsidRPr="00E43CF2">
              <w:rPr>
                <w:rStyle w:val="Hyperlink"/>
                <w:noProof/>
              </w:rPr>
              <w:t>Le Programme</w:t>
            </w:r>
            <w:r>
              <w:rPr>
                <w:noProof/>
                <w:webHidden/>
              </w:rPr>
              <w:tab/>
            </w:r>
            <w:r>
              <w:rPr>
                <w:noProof/>
                <w:webHidden/>
              </w:rPr>
              <w:fldChar w:fldCharType="begin"/>
            </w:r>
            <w:r>
              <w:rPr>
                <w:noProof/>
                <w:webHidden/>
              </w:rPr>
              <w:instrText xml:space="preserve"> PAGEREF _Toc227686341 \h </w:instrText>
            </w:r>
            <w:r>
              <w:rPr>
                <w:noProof/>
                <w:webHidden/>
              </w:rPr>
            </w:r>
            <w:r>
              <w:rPr>
                <w:noProof/>
                <w:webHidden/>
              </w:rPr>
              <w:fldChar w:fldCharType="separate"/>
            </w:r>
            <w:r w:rsidR="00B34DF3">
              <w:rPr>
                <w:noProof/>
                <w:webHidden/>
              </w:rPr>
              <w:t>8</w:t>
            </w:r>
            <w:r>
              <w:rPr>
                <w:noProof/>
                <w:webHidden/>
              </w:rPr>
              <w:fldChar w:fldCharType="end"/>
            </w:r>
          </w:hyperlink>
        </w:p>
        <w:p w14:paraId="028D8928" w14:textId="1238222D" w:rsidR="00182622" w:rsidRDefault="00182622">
          <w:pPr>
            <w:pStyle w:val="TOC2"/>
            <w:tabs>
              <w:tab w:val="left" w:pos="960"/>
              <w:tab w:val="right" w:leader="dot" w:pos="9062"/>
            </w:tabs>
            <w:rPr>
              <w:rFonts w:eastAsiaTheme="minorEastAsia"/>
              <w:noProof/>
              <w:sz w:val="24"/>
              <w:szCs w:val="24"/>
              <w:lang w:eastAsia="fr-FR"/>
            </w:rPr>
          </w:pPr>
          <w:hyperlink w:anchor="_Toc227686342" w:history="1">
            <w:r w:rsidRPr="00E43CF2">
              <w:rPr>
                <w:rStyle w:val="Hyperlink"/>
                <w:noProof/>
              </w:rPr>
              <w:t>I.1.</w:t>
            </w:r>
            <w:r>
              <w:rPr>
                <w:rFonts w:eastAsiaTheme="minorEastAsia"/>
                <w:noProof/>
                <w:sz w:val="24"/>
                <w:szCs w:val="24"/>
                <w:lang w:eastAsia="fr-FR"/>
              </w:rPr>
              <w:tab/>
            </w:r>
            <w:r w:rsidRPr="00E43CF2">
              <w:rPr>
                <w:rStyle w:val="Hyperlink"/>
                <w:noProof/>
              </w:rPr>
              <w:t>Contexte stratégique du Programme</w:t>
            </w:r>
            <w:r>
              <w:rPr>
                <w:noProof/>
                <w:webHidden/>
              </w:rPr>
              <w:tab/>
            </w:r>
            <w:r>
              <w:rPr>
                <w:noProof/>
                <w:webHidden/>
              </w:rPr>
              <w:fldChar w:fldCharType="begin"/>
            </w:r>
            <w:r>
              <w:rPr>
                <w:noProof/>
                <w:webHidden/>
              </w:rPr>
              <w:instrText xml:space="preserve"> PAGEREF _Toc227686342 \h </w:instrText>
            </w:r>
            <w:r>
              <w:rPr>
                <w:noProof/>
                <w:webHidden/>
              </w:rPr>
            </w:r>
            <w:r>
              <w:rPr>
                <w:noProof/>
                <w:webHidden/>
              </w:rPr>
              <w:fldChar w:fldCharType="separate"/>
            </w:r>
            <w:r w:rsidR="00B34DF3">
              <w:rPr>
                <w:noProof/>
                <w:webHidden/>
              </w:rPr>
              <w:t>8</w:t>
            </w:r>
            <w:r>
              <w:rPr>
                <w:noProof/>
                <w:webHidden/>
              </w:rPr>
              <w:fldChar w:fldCharType="end"/>
            </w:r>
          </w:hyperlink>
        </w:p>
        <w:p w14:paraId="0AD36780" w14:textId="70F2D20A" w:rsidR="00182622" w:rsidRDefault="00182622">
          <w:pPr>
            <w:pStyle w:val="TOC2"/>
            <w:tabs>
              <w:tab w:val="left" w:pos="960"/>
              <w:tab w:val="right" w:leader="dot" w:pos="9062"/>
            </w:tabs>
            <w:rPr>
              <w:rFonts w:eastAsiaTheme="minorEastAsia"/>
              <w:noProof/>
              <w:sz w:val="24"/>
              <w:szCs w:val="24"/>
              <w:lang w:eastAsia="fr-FR"/>
            </w:rPr>
          </w:pPr>
          <w:hyperlink w:anchor="_Toc227686343" w:history="1">
            <w:r w:rsidRPr="00E43CF2">
              <w:rPr>
                <w:rStyle w:val="Hyperlink"/>
                <w:noProof/>
              </w:rPr>
              <w:t>I.2.</w:t>
            </w:r>
            <w:r>
              <w:rPr>
                <w:rFonts w:eastAsiaTheme="minorEastAsia"/>
                <w:noProof/>
                <w:sz w:val="24"/>
                <w:szCs w:val="24"/>
                <w:lang w:eastAsia="fr-FR"/>
              </w:rPr>
              <w:tab/>
            </w:r>
            <w:r w:rsidRPr="00E43CF2">
              <w:rPr>
                <w:rStyle w:val="Hyperlink"/>
                <w:noProof/>
              </w:rPr>
              <w:t>Contexte sectoriel et institutionnel</w:t>
            </w:r>
            <w:r>
              <w:rPr>
                <w:noProof/>
                <w:webHidden/>
              </w:rPr>
              <w:tab/>
            </w:r>
            <w:r>
              <w:rPr>
                <w:noProof/>
                <w:webHidden/>
              </w:rPr>
              <w:fldChar w:fldCharType="begin"/>
            </w:r>
            <w:r>
              <w:rPr>
                <w:noProof/>
                <w:webHidden/>
              </w:rPr>
              <w:instrText xml:space="preserve"> PAGEREF _Toc227686343 \h </w:instrText>
            </w:r>
            <w:r>
              <w:rPr>
                <w:noProof/>
                <w:webHidden/>
              </w:rPr>
            </w:r>
            <w:r>
              <w:rPr>
                <w:noProof/>
                <w:webHidden/>
              </w:rPr>
              <w:fldChar w:fldCharType="separate"/>
            </w:r>
            <w:r w:rsidR="00B34DF3">
              <w:rPr>
                <w:noProof/>
                <w:webHidden/>
              </w:rPr>
              <w:t>9</w:t>
            </w:r>
            <w:r>
              <w:rPr>
                <w:noProof/>
                <w:webHidden/>
              </w:rPr>
              <w:fldChar w:fldCharType="end"/>
            </w:r>
          </w:hyperlink>
        </w:p>
        <w:p w14:paraId="6B36542B" w14:textId="33A37A77" w:rsidR="00182622" w:rsidRDefault="00182622">
          <w:pPr>
            <w:pStyle w:val="TOC1"/>
            <w:tabs>
              <w:tab w:val="left" w:pos="440"/>
              <w:tab w:val="right" w:leader="dot" w:pos="9062"/>
            </w:tabs>
            <w:rPr>
              <w:rFonts w:eastAsiaTheme="minorEastAsia"/>
              <w:noProof/>
              <w:sz w:val="24"/>
              <w:szCs w:val="24"/>
              <w:lang w:eastAsia="fr-FR"/>
            </w:rPr>
          </w:pPr>
          <w:hyperlink w:anchor="_Toc227686344" w:history="1">
            <w:r w:rsidRPr="00E43CF2">
              <w:rPr>
                <w:rStyle w:val="Hyperlink"/>
                <w:noProof/>
              </w:rPr>
              <w:t>II.</w:t>
            </w:r>
            <w:r>
              <w:rPr>
                <w:rFonts w:eastAsiaTheme="minorEastAsia"/>
                <w:noProof/>
                <w:sz w:val="24"/>
                <w:szCs w:val="24"/>
                <w:lang w:eastAsia="fr-FR"/>
              </w:rPr>
              <w:tab/>
            </w:r>
            <w:r w:rsidRPr="00E43CF2">
              <w:rPr>
                <w:rStyle w:val="Hyperlink"/>
                <w:noProof/>
              </w:rPr>
              <w:t>Description du Programme</w:t>
            </w:r>
            <w:r>
              <w:rPr>
                <w:noProof/>
                <w:webHidden/>
              </w:rPr>
              <w:tab/>
            </w:r>
            <w:r>
              <w:rPr>
                <w:noProof/>
                <w:webHidden/>
              </w:rPr>
              <w:fldChar w:fldCharType="begin"/>
            </w:r>
            <w:r>
              <w:rPr>
                <w:noProof/>
                <w:webHidden/>
              </w:rPr>
              <w:instrText xml:space="preserve"> PAGEREF _Toc227686344 \h </w:instrText>
            </w:r>
            <w:r>
              <w:rPr>
                <w:noProof/>
                <w:webHidden/>
              </w:rPr>
            </w:r>
            <w:r>
              <w:rPr>
                <w:noProof/>
                <w:webHidden/>
              </w:rPr>
              <w:fldChar w:fldCharType="separate"/>
            </w:r>
            <w:r w:rsidR="00B34DF3">
              <w:rPr>
                <w:noProof/>
                <w:webHidden/>
              </w:rPr>
              <w:t>11</w:t>
            </w:r>
            <w:r>
              <w:rPr>
                <w:noProof/>
                <w:webHidden/>
              </w:rPr>
              <w:fldChar w:fldCharType="end"/>
            </w:r>
          </w:hyperlink>
        </w:p>
        <w:p w14:paraId="1E47EF13" w14:textId="43151E4F" w:rsidR="00182622" w:rsidRDefault="00182622">
          <w:pPr>
            <w:pStyle w:val="TOC2"/>
            <w:tabs>
              <w:tab w:val="left" w:pos="960"/>
              <w:tab w:val="right" w:leader="dot" w:pos="9062"/>
            </w:tabs>
            <w:rPr>
              <w:rFonts w:eastAsiaTheme="minorEastAsia"/>
              <w:noProof/>
              <w:sz w:val="24"/>
              <w:szCs w:val="24"/>
              <w:lang w:eastAsia="fr-FR"/>
            </w:rPr>
          </w:pPr>
          <w:hyperlink w:anchor="_Toc227686345" w:history="1">
            <w:r w:rsidRPr="00E43CF2">
              <w:rPr>
                <w:rStyle w:val="Hyperlink"/>
                <w:noProof/>
              </w:rPr>
              <w:t>II.1.</w:t>
            </w:r>
            <w:r>
              <w:rPr>
                <w:rFonts w:eastAsiaTheme="minorEastAsia"/>
                <w:noProof/>
                <w:sz w:val="24"/>
                <w:szCs w:val="24"/>
                <w:lang w:eastAsia="fr-FR"/>
              </w:rPr>
              <w:tab/>
            </w:r>
            <w:r w:rsidRPr="00E43CF2">
              <w:rPr>
                <w:rStyle w:val="Hyperlink"/>
                <w:noProof/>
              </w:rPr>
              <w:t>Objectif de développement du programme (ODP)</w:t>
            </w:r>
            <w:r>
              <w:rPr>
                <w:noProof/>
                <w:webHidden/>
              </w:rPr>
              <w:tab/>
            </w:r>
            <w:r>
              <w:rPr>
                <w:noProof/>
                <w:webHidden/>
              </w:rPr>
              <w:fldChar w:fldCharType="begin"/>
            </w:r>
            <w:r>
              <w:rPr>
                <w:noProof/>
                <w:webHidden/>
              </w:rPr>
              <w:instrText xml:space="preserve"> PAGEREF _Toc227686345 \h </w:instrText>
            </w:r>
            <w:r>
              <w:rPr>
                <w:noProof/>
                <w:webHidden/>
              </w:rPr>
            </w:r>
            <w:r>
              <w:rPr>
                <w:noProof/>
                <w:webHidden/>
              </w:rPr>
              <w:fldChar w:fldCharType="separate"/>
            </w:r>
            <w:r w:rsidR="00B34DF3">
              <w:rPr>
                <w:noProof/>
                <w:webHidden/>
              </w:rPr>
              <w:t>11</w:t>
            </w:r>
            <w:r>
              <w:rPr>
                <w:noProof/>
                <w:webHidden/>
              </w:rPr>
              <w:fldChar w:fldCharType="end"/>
            </w:r>
          </w:hyperlink>
        </w:p>
        <w:p w14:paraId="48AB6107" w14:textId="42DCD354" w:rsidR="00182622" w:rsidRDefault="00182622">
          <w:pPr>
            <w:pStyle w:val="TOC2"/>
            <w:tabs>
              <w:tab w:val="left" w:pos="960"/>
              <w:tab w:val="right" w:leader="dot" w:pos="9062"/>
            </w:tabs>
            <w:rPr>
              <w:rFonts w:eastAsiaTheme="minorEastAsia"/>
              <w:noProof/>
              <w:sz w:val="24"/>
              <w:szCs w:val="24"/>
              <w:lang w:eastAsia="fr-FR"/>
            </w:rPr>
          </w:pPr>
          <w:hyperlink w:anchor="_Toc227686346" w:history="1">
            <w:r w:rsidRPr="00E43CF2">
              <w:rPr>
                <w:rStyle w:val="Hyperlink"/>
                <w:noProof/>
              </w:rPr>
              <w:t>II.2.</w:t>
            </w:r>
            <w:r>
              <w:rPr>
                <w:rFonts w:eastAsiaTheme="minorEastAsia"/>
                <w:noProof/>
                <w:sz w:val="24"/>
                <w:szCs w:val="24"/>
                <w:lang w:eastAsia="fr-FR"/>
              </w:rPr>
              <w:tab/>
            </w:r>
            <w:r w:rsidRPr="00E43CF2">
              <w:rPr>
                <w:rStyle w:val="Hyperlink"/>
                <w:noProof/>
              </w:rPr>
              <w:t>Théorie du changement et indicateurs de l’ODP</w:t>
            </w:r>
            <w:r>
              <w:rPr>
                <w:noProof/>
                <w:webHidden/>
              </w:rPr>
              <w:tab/>
            </w:r>
            <w:r>
              <w:rPr>
                <w:noProof/>
                <w:webHidden/>
              </w:rPr>
              <w:fldChar w:fldCharType="begin"/>
            </w:r>
            <w:r>
              <w:rPr>
                <w:noProof/>
                <w:webHidden/>
              </w:rPr>
              <w:instrText xml:space="preserve"> PAGEREF _Toc227686346 \h </w:instrText>
            </w:r>
            <w:r>
              <w:rPr>
                <w:noProof/>
                <w:webHidden/>
              </w:rPr>
            </w:r>
            <w:r>
              <w:rPr>
                <w:noProof/>
                <w:webHidden/>
              </w:rPr>
              <w:fldChar w:fldCharType="separate"/>
            </w:r>
            <w:r w:rsidR="00B34DF3">
              <w:rPr>
                <w:noProof/>
                <w:webHidden/>
              </w:rPr>
              <w:t>11</w:t>
            </w:r>
            <w:r>
              <w:rPr>
                <w:noProof/>
                <w:webHidden/>
              </w:rPr>
              <w:fldChar w:fldCharType="end"/>
            </w:r>
          </w:hyperlink>
        </w:p>
        <w:p w14:paraId="71B61B10" w14:textId="2FC75CB9" w:rsidR="00182622" w:rsidRDefault="00182622">
          <w:pPr>
            <w:pStyle w:val="TOC2"/>
            <w:tabs>
              <w:tab w:val="left" w:pos="960"/>
              <w:tab w:val="right" w:leader="dot" w:pos="9062"/>
            </w:tabs>
            <w:rPr>
              <w:rFonts w:eastAsiaTheme="minorEastAsia"/>
              <w:noProof/>
              <w:sz w:val="24"/>
              <w:szCs w:val="24"/>
              <w:lang w:eastAsia="fr-FR"/>
            </w:rPr>
          </w:pPr>
          <w:hyperlink w:anchor="_Toc227686347" w:history="1">
            <w:r w:rsidRPr="00E43CF2">
              <w:rPr>
                <w:rStyle w:val="Hyperlink"/>
                <w:noProof/>
              </w:rPr>
              <w:t>II.3.</w:t>
            </w:r>
            <w:r>
              <w:rPr>
                <w:rFonts w:eastAsiaTheme="minorEastAsia"/>
                <w:noProof/>
                <w:sz w:val="24"/>
                <w:szCs w:val="24"/>
                <w:lang w:eastAsia="fr-FR"/>
              </w:rPr>
              <w:tab/>
            </w:r>
            <w:r w:rsidRPr="00E43CF2">
              <w:rPr>
                <w:rStyle w:val="Hyperlink"/>
                <w:noProof/>
              </w:rPr>
              <w:t>Périmètre du Programme PforR</w:t>
            </w:r>
            <w:r>
              <w:rPr>
                <w:noProof/>
                <w:webHidden/>
              </w:rPr>
              <w:tab/>
            </w:r>
            <w:r>
              <w:rPr>
                <w:noProof/>
                <w:webHidden/>
              </w:rPr>
              <w:fldChar w:fldCharType="begin"/>
            </w:r>
            <w:r>
              <w:rPr>
                <w:noProof/>
                <w:webHidden/>
              </w:rPr>
              <w:instrText xml:space="preserve"> PAGEREF _Toc227686347 \h </w:instrText>
            </w:r>
            <w:r>
              <w:rPr>
                <w:noProof/>
                <w:webHidden/>
              </w:rPr>
            </w:r>
            <w:r>
              <w:rPr>
                <w:noProof/>
                <w:webHidden/>
              </w:rPr>
              <w:fldChar w:fldCharType="separate"/>
            </w:r>
            <w:r w:rsidR="00B34DF3">
              <w:rPr>
                <w:noProof/>
                <w:webHidden/>
              </w:rPr>
              <w:t>14</w:t>
            </w:r>
            <w:r>
              <w:rPr>
                <w:noProof/>
                <w:webHidden/>
              </w:rPr>
              <w:fldChar w:fldCharType="end"/>
            </w:r>
          </w:hyperlink>
        </w:p>
        <w:p w14:paraId="723926A0" w14:textId="5073D62F" w:rsidR="00182622" w:rsidRDefault="00182622">
          <w:pPr>
            <w:pStyle w:val="TOC3"/>
            <w:tabs>
              <w:tab w:val="left" w:pos="1200"/>
              <w:tab w:val="right" w:leader="dot" w:pos="9062"/>
            </w:tabs>
            <w:rPr>
              <w:rFonts w:eastAsiaTheme="minorEastAsia"/>
              <w:noProof/>
              <w:sz w:val="24"/>
              <w:szCs w:val="24"/>
              <w:lang w:eastAsia="fr-FR"/>
            </w:rPr>
          </w:pPr>
          <w:hyperlink w:anchor="_Toc227686348" w:history="1">
            <w:r w:rsidRPr="00E43CF2">
              <w:rPr>
                <w:rStyle w:val="Hyperlink"/>
                <w:noProof/>
              </w:rPr>
              <w:t>II.3.1.</w:t>
            </w:r>
            <w:r>
              <w:rPr>
                <w:rFonts w:eastAsiaTheme="minorEastAsia"/>
                <w:noProof/>
                <w:sz w:val="24"/>
                <w:szCs w:val="24"/>
                <w:lang w:eastAsia="fr-FR"/>
              </w:rPr>
              <w:tab/>
            </w:r>
            <w:r w:rsidRPr="00E43CF2">
              <w:rPr>
                <w:rStyle w:val="Hyperlink"/>
                <w:noProof/>
              </w:rPr>
              <w:t>Résumé du programme gouvernemental</w:t>
            </w:r>
            <w:r>
              <w:rPr>
                <w:noProof/>
                <w:webHidden/>
              </w:rPr>
              <w:tab/>
            </w:r>
            <w:r>
              <w:rPr>
                <w:noProof/>
                <w:webHidden/>
              </w:rPr>
              <w:fldChar w:fldCharType="begin"/>
            </w:r>
            <w:r>
              <w:rPr>
                <w:noProof/>
                <w:webHidden/>
              </w:rPr>
              <w:instrText xml:space="preserve"> PAGEREF _Toc227686348 \h </w:instrText>
            </w:r>
            <w:r>
              <w:rPr>
                <w:noProof/>
                <w:webHidden/>
              </w:rPr>
            </w:r>
            <w:r>
              <w:rPr>
                <w:noProof/>
                <w:webHidden/>
              </w:rPr>
              <w:fldChar w:fldCharType="separate"/>
            </w:r>
            <w:r w:rsidR="00B34DF3">
              <w:rPr>
                <w:noProof/>
                <w:webHidden/>
              </w:rPr>
              <w:t>14</w:t>
            </w:r>
            <w:r>
              <w:rPr>
                <w:noProof/>
                <w:webHidden/>
              </w:rPr>
              <w:fldChar w:fldCharType="end"/>
            </w:r>
          </w:hyperlink>
        </w:p>
        <w:p w14:paraId="158BC509" w14:textId="3FFED37F" w:rsidR="00182622" w:rsidRDefault="00182622">
          <w:pPr>
            <w:pStyle w:val="TOC3"/>
            <w:tabs>
              <w:tab w:val="left" w:pos="1200"/>
              <w:tab w:val="right" w:leader="dot" w:pos="9062"/>
            </w:tabs>
            <w:rPr>
              <w:rFonts w:eastAsiaTheme="minorEastAsia"/>
              <w:noProof/>
              <w:sz w:val="24"/>
              <w:szCs w:val="24"/>
              <w:lang w:eastAsia="fr-FR"/>
            </w:rPr>
          </w:pPr>
          <w:hyperlink w:anchor="_Toc227686349" w:history="1">
            <w:r w:rsidRPr="00E43CF2">
              <w:rPr>
                <w:rStyle w:val="Hyperlink"/>
                <w:noProof/>
              </w:rPr>
              <w:t>II.3.2.</w:t>
            </w:r>
            <w:r>
              <w:rPr>
                <w:rFonts w:eastAsiaTheme="minorEastAsia"/>
                <w:noProof/>
                <w:sz w:val="24"/>
                <w:szCs w:val="24"/>
                <w:lang w:eastAsia="fr-FR"/>
              </w:rPr>
              <w:tab/>
            </w:r>
            <w:r w:rsidRPr="00E43CF2">
              <w:rPr>
                <w:rStyle w:val="Hyperlink"/>
                <w:noProof/>
              </w:rPr>
              <w:t>Périmètre du Programme et domaines de résultats</w:t>
            </w:r>
            <w:r>
              <w:rPr>
                <w:noProof/>
                <w:webHidden/>
              </w:rPr>
              <w:tab/>
            </w:r>
            <w:r>
              <w:rPr>
                <w:noProof/>
                <w:webHidden/>
              </w:rPr>
              <w:fldChar w:fldCharType="begin"/>
            </w:r>
            <w:r>
              <w:rPr>
                <w:noProof/>
                <w:webHidden/>
              </w:rPr>
              <w:instrText xml:space="preserve"> PAGEREF _Toc227686349 \h </w:instrText>
            </w:r>
            <w:r>
              <w:rPr>
                <w:noProof/>
                <w:webHidden/>
              </w:rPr>
            </w:r>
            <w:r>
              <w:rPr>
                <w:noProof/>
                <w:webHidden/>
              </w:rPr>
              <w:fldChar w:fldCharType="separate"/>
            </w:r>
            <w:r w:rsidR="00B34DF3">
              <w:rPr>
                <w:noProof/>
                <w:webHidden/>
              </w:rPr>
              <w:t>15</w:t>
            </w:r>
            <w:r>
              <w:rPr>
                <w:noProof/>
                <w:webHidden/>
              </w:rPr>
              <w:fldChar w:fldCharType="end"/>
            </w:r>
          </w:hyperlink>
        </w:p>
        <w:p w14:paraId="2E1295F4" w14:textId="011B7892" w:rsidR="00182622" w:rsidRDefault="00182622">
          <w:pPr>
            <w:pStyle w:val="TOC3"/>
            <w:tabs>
              <w:tab w:val="left" w:pos="1200"/>
              <w:tab w:val="right" w:leader="dot" w:pos="9062"/>
            </w:tabs>
            <w:rPr>
              <w:rFonts w:eastAsiaTheme="minorEastAsia"/>
              <w:noProof/>
              <w:sz w:val="24"/>
              <w:szCs w:val="24"/>
              <w:lang w:eastAsia="fr-FR"/>
            </w:rPr>
          </w:pPr>
          <w:hyperlink w:anchor="_Toc227686350" w:history="1">
            <w:r w:rsidRPr="00E43CF2">
              <w:rPr>
                <w:rStyle w:val="Hyperlink"/>
                <w:noProof/>
              </w:rPr>
              <w:t>II.3.3.</w:t>
            </w:r>
            <w:r>
              <w:rPr>
                <w:rFonts w:eastAsiaTheme="minorEastAsia"/>
                <w:noProof/>
                <w:sz w:val="24"/>
                <w:szCs w:val="24"/>
                <w:lang w:eastAsia="fr-FR"/>
              </w:rPr>
              <w:tab/>
            </w:r>
            <w:r w:rsidRPr="00E43CF2">
              <w:rPr>
                <w:rStyle w:val="Hyperlink"/>
                <w:noProof/>
              </w:rPr>
              <w:t>Bénéficiaires du Programme</w:t>
            </w:r>
            <w:r>
              <w:rPr>
                <w:noProof/>
                <w:webHidden/>
              </w:rPr>
              <w:tab/>
            </w:r>
            <w:r>
              <w:rPr>
                <w:noProof/>
                <w:webHidden/>
              </w:rPr>
              <w:fldChar w:fldCharType="begin"/>
            </w:r>
            <w:r>
              <w:rPr>
                <w:noProof/>
                <w:webHidden/>
              </w:rPr>
              <w:instrText xml:space="preserve"> PAGEREF _Toc227686350 \h </w:instrText>
            </w:r>
            <w:r>
              <w:rPr>
                <w:noProof/>
                <w:webHidden/>
              </w:rPr>
            </w:r>
            <w:r>
              <w:rPr>
                <w:noProof/>
                <w:webHidden/>
              </w:rPr>
              <w:fldChar w:fldCharType="separate"/>
            </w:r>
            <w:r w:rsidR="00B34DF3">
              <w:rPr>
                <w:noProof/>
                <w:webHidden/>
              </w:rPr>
              <w:t>20</w:t>
            </w:r>
            <w:r>
              <w:rPr>
                <w:noProof/>
                <w:webHidden/>
              </w:rPr>
              <w:fldChar w:fldCharType="end"/>
            </w:r>
          </w:hyperlink>
        </w:p>
        <w:p w14:paraId="1A0F8783" w14:textId="477B2DFF" w:rsidR="00182622" w:rsidRDefault="00182622">
          <w:pPr>
            <w:pStyle w:val="TOC3"/>
            <w:tabs>
              <w:tab w:val="left" w:pos="1200"/>
              <w:tab w:val="right" w:leader="dot" w:pos="9062"/>
            </w:tabs>
            <w:rPr>
              <w:rFonts w:eastAsiaTheme="minorEastAsia"/>
              <w:noProof/>
              <w:sz w:val="24"/>
              <w:szCs w:val="24"/>
              <w:lang w:eastAsia="fr-FR"/>
            </w:rPr>
          </w:pPr>
          <w:hyperlink w:anchor="_Toc227686351" w:history="1">
            <w:r w:rsidRPr="00E43CF2">
              <w:rPr>
                <w:rStyle w:val="Hyperlink"/>
                <w:noProof/>
              </w:rPr>
              <w:t>II.3.4.</w:t>
            </w:r>
            <w:r>
              <w:rPr>
                <w:rFonts w:eastAsiaTheme="minorEastAsia"/>
                <w:noProof/>
                <w:sz w:val="24"/>
                <w:szCs w:val="24"/>
                <w:lang w:eastAsia="fr-FR"/>
              </w:rPr>
              <w:tab/>
            </w:r>
            <w:r w:rsidRPr="00E43CF2">
              <w:rPr>
                <w:rStyle w:val="Hyperlink"/>
                <w:noProof/>
              </w:rPr>
              <w:t>Cadre de dépenses du Programme</w:t>
            </w:r>
            <w:r>
              <w:rPr>
                <w:noProof/>
                <w:webHidden/>
              </w:rPr>
              <w:tab/>
            </w:r>
            <w:r>
              <w:rPr>
                <w:noProof/>
                <w:webHidden/>
              </w:rPr>
              <w:fldChar w:fldCharType="begin"/>
            </w:r>
            <w:r>
              <w:rPr>
                <w:noProof/>
                <w:webHidden/>
              </w:rPr>
              <w:instrText xml:space="preserve"> PAGEREF _Toc227686351 \h </w:instrText>
            </w:r>
            <w:r>
              <w:rPr>
                <w:noProof/>
                <w:webHidden/>
              </w:rPr>
            </w:r>
            <w:r>
              <w:rPr>
                <w:noProof/>
                <w:webHidden/>
              </w:rPr>
              <w:fldChar w:fldCharType="separate"/>
            </w:r>
            <w:r w:rsidR="00B34DF3">
              <w:rPr>
                <w:noProof/>
                <w:webHidden/>
              </w:rPr>
              <w:t>20</w:t>
            </w:r>
            <w:r>
              <w:rPr>
                <w:noProof/>
                <w:webHidden/>
              </w:rPr>
              <w:fldChar w:fldCharType="end"/>
            </w:r>
          </w:hyperlink>
        </w:p>
        <w:p w14:paraId="60CE6635" w14:textId="33B1F241" w:rsidR="00182622" w:rsidRDefault="00182622">
          <w:pPr>
            <w:pStyle w:val="TOC3"/>
            <w:tabs>
              <w:tab w:val="left" w:pos="1200"/>
              <w:tab w:val="right" w:leader="dot" w:pos="9062"/>
            </w:tabs>
            <w:rPr>
              <w:rFonts w:eastAsiaTheme="minorEastAsia"/>
              <w:noProof/>
              <w:sz w:val="24"/>
              <w:szCs w:val="24"/>
              <w:lang w:eastAsia="fr-FR"/>
            </w:rPr>
          </w:pPr>
          <w:hyperlink w:anchor="_Toc227686352" w:history="1">
            <w:r w:rsidRPr="00E43CF2">
              <w:rPr>
                <w:rStyle w:val="Hyperlink"/>
                <w:noProof/>
              </w:rPr>
              <w:t>II.3.5.</w:t>
            </w:r>
            <w:r>
              <w:rPr>
                <w:rFonts w:eastAsiaTheme="minorEastAsia"/>
                <w:noProof/>
                <w:sz w:val="24"/>
                <w:szCs w:val="24"/>
                <w:lang w:eastAsia="fr-FR"/>
              </w:rPr>
              <w:tab/>
            </w:r>
            <w:r w:rsidRPr="00E43CF2">
              <w:rPr>
                <w:rStyle w:val="Hyperlink"/>
                <w:noProof/>
              </w:rPr>
              <w:t>Financement du Programme</w:t>
            </w:r>
            <w:r>
              <w:rPr>
                <w:noProof/>
                <w:webHidden/>
              </w:rPr>
              <w:tab/>
            </w:r>
            <w:r>
              <w:rPr>
                <w:noProof/>
                <w:webHidden/>
              </w:rPr>
              <w:fldChar w:fldCharType="begin"/>
            </w:r>
            <w:r>
              <w:rPr>
                <w:noProof/>
                <w:webHidden/>
              </w:rPr>
              <w:instrText xml:space="preserve"> PAGEREF _Toc227686352 \h </w:instrText>
            </w:r>
            <w:r>
              <w:rPr>
                <w:noProof/>
                <w:webHidden/>
              </w:rPr>
            </w:r>
            <w:r>
              <w:rPr>
                <w:noProof/>
                <w:webHidden/>
              </w:rPr>
              <w:fldChar w:fldCharType="separate"/>
            </w:r>
            <w:r w:rsidR="00B34DF3">
              <w:rPr>
                <w:noProof/>
                <w:webHidden/>
              </w:rPr>
              <w:t>23</w:t>
            </w:r>
            <w:r>
              <w:rPr>
                <w:noProof/>
                <w:webHidden/>
              </w:rPr>
              <w:fldChar w:fldCharType="end"/>
            </w:r>
          </w:hyperlink>
        </w:p>
        <w:p w14:paraId="6933F33E" w14:textId="4F0768DE" w:rsidR="00182622" w:rsidRDefault="00182622">
          <w:pPr>
            <w:pStyle w:val="TOC2"/>
            <w:tabs>
              <w:tab w:val="left" w:pos="960"/>
              <w:tab w:val="right" w:leader="dot" w:pos="9062"/>
            </w:tabs>
            <w:rPr>
              <w:rFonts w:eastAsiaTheme="minorEastAsia"/>
              <w:noProof/>
              <w:sz w:val="24"/>
              <w:szCs w:val="24"/>
              <w:lang w:eastAsia="fr-FR"/>
            </w:rPr>
          </w:pPr>
          <w:hyperlink w:anchor="_Toc227686353" w:history="1">
            <w:r w:rsidRPr="00E43CF2">
              <w:rPr>
                <w:rStyle w:val="Hyperlink"/>
                <w:noProof/>
              </w:rPr>
              <w:t>II.4.</w:t>
            </w:r>
            <w:r>
              <w:rPr>
                <w:rFonts w:eastAsiaTheme="minorEastAsia"/>
                <w:noProof/>
                <w:sz w:val="24"/>
                <w:szCs w:val="24"/>
                <w:lang w:eastAsia="fr-FR"/>
              </w:rPr>
              <w:tab/>
            </w:r>
            <w:r w:rsidRPr="00E43CF2">
              <w:rPr>
                <w:rStyle w:val="Hyperlink"/>
                <w:noProof/>
              </w:rPr>
              <w:t>Indicateurs liés aux décaissements</w:t>
            </w:r>
            <w:r>
              <w:rPr>
                <w:noProof/>
                <w:webHidden/>
              </w:rPr>
              <w:tab/>
            </w:r>
            <w:r>
              <w:rPr>
                <w:noProof/>
                <w:webHidden/>
              </w:rPr>
              <w:fldChar w:fldCharType="begin"/>
            </w:r>
            <w:r>
              <w:rPr>
                <w:noProof/>
                <w:webHidden/>
              </w:rPr>
              <w:instrText xml:space="preserve"> PAGEREF _Toc227686353 \h </w:instrText>
            </w:r>
            <w:r>
              <w:rPr>
                <w:noProof/>
                <w:webHidden/>
              </w:rPr>
            </w:r>
            <w:r>
              <w:rPr>
                <w:noProof/>
                <w:webHidden/>
              </w:rPr>
              <w:fldChar w:fldCharType="separate"/>
            </w:r>
            <w:r w:rsidR="00B34DF3">
              <w:rPr>
                <w:noProof/>
                <w:webHidden/>
              </w:rPr>
              <w:t>23</w:t>
            </w:r>
            <w:r>
              <w:rPr>
                <w:noProof/>
                <w:webHidden/>
              </w:rPr>
              <w:fldChar w:fldCharType="end"/>
            </w:r>
          </w:hyperlink>
        </w:p>
        <w:p w14:paraId="09077242" w14:textId="6FBF1D26" w:rsidR="00182622" w:rsidRDefault="00182622">
          <w:pPr>
            <w:pStyle w:val="TOC2"/>
            <w:tabs>
              <w:tab w:val="left" w:pos="960"/>
              <w:tab w:val="right" w:leader="dot" w:pos="9062"/>
            </w:tabs>
            <w:rPr>
              <w:rFonts w:eastAsiaTheme="minorEastAsia"/>
              <w:noProof/>
              <w:sz w:val="24"/>
              <w:szCs w:val="24"/>
              <w:lang w:eastAsia="fr-FR"/>
            </w:rPr>
          </w:pPr>
          <w:hyperlink w:anchor="_Toc227686354" w:history="1">
            <w:r w:rsidRPr="00E43CF2">
              <w:rPr>
                <w:rStyle w:val="Hyperlink"/>
                <w:noProof/>
              </w:rPr>
              <w:t>II.5.</w:t>
            </w:r>
            <w:r>
              <w:rPr>
                <w:rFonts w:eastAsiaTheme="minorEastAsia"/>
                <w:noProof/>
                <w:sz w:val="24"/>
                <w:szCs w:val="24"/>
                <w:lang w:eastAsia="fr-FR"/>
              </w:rPr>
              <w:tab/>
            </w:r>
            <w:r w:rsidRPr="00E43CF2">
              <w:rPr>
                <w:rStyle w:val="Hyperlink"/>
                <w:noProof/>
              </w:rPr>
              <w:t>Rôle des partenaires</w:t>
            </w:r>
            <w:r>
              <w:rPr>
                <w:noProof/>
                <w:webHidden/>
              </w:rPr>
              <w:tab/>
            </w:r>
            <w:r>
              <w:rPr>
                <w:noProof/>
                <w:webHidden/>
              </w:rPr>
              <w:fldChar w:fldCharType="begin"/>
            </w:r>
            <w:r>
              <w:rPr>
                <w:noProof/>
                <w:webHidden/>
              </w:rPr>
              <w:instrText xml:space="preserve"> PAGEREF _Toc227686354 \h </w:instrText>
            </w:r>
            <w:r>
              <w:rPr>
                <w:noProof/>
                <w:webHidden/>
              </w:rPr>
            </w:r>
            <w:r>
              <w:rPr>
                <w:noProof/>
                <w:webHidden/>
              </w:rPr>
              <w:fldChar w:fldCharType="separate"/>
            </w:r>
            <w:r w:rsidR="00B34DF3">
              <w:rPr>
                <w:noProof/>
                <w:webHidden/>
              </w:rPr>
              <w:t>24</w:t>
            </w:r>
            <w:r>
              <w:rPr>
                <w:noProof/>
                <w:webHidden/>
              </w:rPr>
              <w:fldChar w:fldCharType="end"/>
            </w:r>
          </w:hyperlink>
        </w:p>
        <w:p w14:paraId="7DB7148E" w14:textId="2E0B60E0" w:rsidR="00182622" w:rsidRDefault="00182622">
          <w:pPr>
            <w:pStyle w:val="TOC2"/>
            <w:tabs>
              <w:tab w:val="left" w:pos="960"/>
              <w:tab w:val="right" w:leader="dot" w:pos="9062"/>
            </w:tabs>
            <w:rPr>
              <w:rFonts w:eastAsiaTheme="minorEastAsia"/>
              <w:noProof/>
              <w:sz w:val="24"/>
              <w:szCs w:val="24"/>
              <w:lang w:eastAsia="fr-FR"/>
            </w:rPr>
          </w:pPr>
          <w:hyperlink w:anchor="_Toc227686355" w:history="1">
            <w:r w:rsidRPr="00E43CF2">
              <w:rPr>
                <w:rStyle w:val="Hyperlink"/>
                <w:noProof/>
              </w:rPr>
              <w:t>II.6.</w:t>
            </w:r>
            <w:r>
              <w:rPr>
                <w:rFonts w:eastAsiaTheme="minorEastAsia"/>
                <w:noProof/>
                <w:sz w:val="24"/>
                <w:szCs w:val="24"/>
                <w:lang w:eastAsia="fr-FR"/>
              </w:rPr>
              <w:tab/>
            </w:r>
            <w:r w:rsidRPr="00E43CF2">
              <w:rPr>
                <w:rStyle w:val="Hyperlink"/>
                <w:noProof/>
              </w:rPr>
              <w:t>Effets environnementaux du Programme</w:t>
            </w:r>
            <w:r>
              <w:rPr>
                <w:noProof/>
                <w:webHidden/>
              </w:rPr>
              <w:tab/>
            </w:r>
            <w:r>
              <w:rPr>
                <w:noProof/>
                <w:webHidden/>
              </w:rPr>
              <w:fldChar w:fldCharType="begin"/>
            </w:r>
            <w:r>
              <w:rPr>
                <w:noProof/>
                <w:webHidden/>
              </w:rPr>
              <w:instrText xml:space="preserve"> PAGEREF _Toc227686355 \h </w:instrText>
            </w:r>
            <w:r>
              <w:rPr>
                <w:noProof/>
                <w:webHidden/>
              </w:rPr>
            </w:r>
            <w:r>
              <w:rPr>
                <w:noProof/>
                <w:webHidden/>
              </w:rPr>
              <w:fldChar w:fldCharType="separate"/>
            </w:r>
            <w:r w:rsidR="00B34DF3">
              <w:rPr>
                <w:noProof/>
                <w:webHidden/>
              </w:rPr>
              <w:t>25</w:t>
            </w:r>
            <w:r>
              <w:rPr>
                <w:noProof/>
                <w:webHidden/>
              </w:rPr>
              <w:fldChar w:fldCharType="end"/>
            </w:r>
          </w:hyperlink>
        </w:p>
        <w:p w14:paraId="739C8FD5" w14:textId="07835E1E" w:rsidR="00182622" w:rsidRDefault="00182622">
          <w:pPr>
            <w:pStyle w:val="TOC1"/>
            <w:tabs>
              <w:tab w:val="left" w:pos="720"/>
              <w:tab w:val="right" w:leader="dot" w:pos="9062"/>
            </w:tabs>
            <w:rPr>
              <w:rFonts w:eastAsiaTheme="minorEastAsia"/>
              <w:noProof/>
              <w:sz w:val="24"/>
              <w:szCs w:val="24"/>
              <w:lang w:eastAsia="fr-FR"/>
            </w:rPr>
          </w:pPr>
          <w:hyperlink w:anchor="_Toc227686356" w:history="1">
            <w:r w:rsidRPr="00E43CF2">
              <w:rPr>
                <w:rStyle w:val="Hyperlink"/>
                <w:noProof/>
              </w:rPr>
              <w:t>III.</w:t>
            </w:r>
            <w:r>
              <w:rPr>
                <w:rFonts w:eastAsiaTheme="minorEastAsia"/>
                <w:noProof/>
                <w:sz w:val="24"/>
                <w:szCs w:val="24"/>
                <w:lang w:eastAsia="fr-FR"/>
              </w:rPr>
              <w:tab/>
            </w:r>
            <w:r w:rsidRPr="00E43CF2">
              <w:rPr>
                <w:rStyle w:val="Hyperlink"/>
                <w:noProof/>
              </w:rPr>
              <w:t>Dispositifs institutionnels</w:t>
            </w:r>
            <w:r>
              <w:rPr>
                <w:noProof/>
                <w:webHidden/>
              </w:rPr>
              <w:tab/>
            </w:r>
            <w:r>
              <w:rPr>
                <w:noProof/>
                <w:webHidden/>
              </w:rPr>
              <w:fldChar w:fldCharType="begin"/>
            </w:r>
            <w:r>
              <w:rPr>
                <w:noProof/>
                <w:webHidden/>
              </w:rPr>
              <w:instrText xml:space="preserve"> PAGEREF _Toc227686356 \h </w:instrText>
            </w:r>
            <w:r>
              <w:rPr>
                <w:noProof/>
                <w:webHidden/>
              </w:rPr>
            </w:r>
            <w:r>
              <w:rPr>
                <w:noProof/>
                <w:webHidden/>
              </w:rPr>
              <w:fldChar w:fldCharType="separate"/>
            </w:r>
            <w:r w:rsidR="00B34DF3">
              <w:rPr>
                <w:noProof/>
                <w:webHidden/>
              </w:rPr>
              <w:t>29</w:t>
            </w:r>
            <w:r>
              <w:rPr>
                <w:noProof/>
                <w:webHidden/>
              </w:rPr>
              <w:fldChar w:fldCharType="end"/>
            </w:r>
          </w:hyperlink>
        </w:p>
        <w:p w14:paraId="5846CF25" w14:textId="04AFB143" w:rsidR="00182622" w:rsidRDefault="00182622">
          <w:pPr>
            <w:pStyle w:val="TOC2"/>
            <w:tabs>
              <w:tab w:val="left" w:pos="960"/>
              <w:tab w:val="right" w:leader="dot" w:pos="9062"/>
            </w:tabs>
            <w:rPr>
              <w:rFonts w:eastAsiaTheme="minorEastAsia"/>
              <w:noProof/>
              <w:sz w:val="24"/>
              <w:szCs w:val="24"/>
              <w:lang w:eastAsia="fr-FR"/>
            </w:rPr>
          </w:pPr>
          <w:hyperlink w:anchor="_Toc227686357" w:history="1">
            <w:r w:rsidRPr="00E43CF2">
              <w:rPr>
                <w:rStyle w:val="Hyperlink"/>
                <w:noProof/>
              </w:rPr>
              <w:t>III.1.</w:t>
            </w:r>
            <w:r>
              <w:rPr>
                <w:rFonts w:eastAsiaTheme="minorEastAsia"/>
                <w:noProof/>
                <w:sz w:val="24"/>
                <w:szCs w:val="24"/>
                <w:lang w:eastAsia="fr-FR"/>
              </w:rPr>
              <w:tab/>
            </w:r>
            <w:r w:rsidRPr="00E43CF2">
              <w:rPr>
                <w:rStyle w:val="Hyperlink"/>
                <w:noProof/>
              </w:rPr>
              <w:t>Dispositifs institutionnels et de mise en œuvre</w:t>
            </w:r>
            <w:r>
              <w:rPr>
                <w:noProof/>
                <w:webHidden/>
              </w:rPr>
              <w:tab/>
            </w:r>
            <w:r>
              <w:rPr>
                <w:noProof/>
                <w:webHidden/>
              </w:rPr>
              <w:fldChar w:fldCharType="begin"/>
            </w:r>
            <w:r>
              <w:rPr>
                <w:noProof/>
                <w:webHidden/>
              </w:rPr>
              <w:instrText xml:space="preserve"> PAGEREF _Toc227686357 \h </w:instrText>
            </w:r>
            <w:r>
              <w:rPr>
                <w:noProof/>
                <w:webHidden/>
              </w:rPr>
            </w:r>
            <w:r>
              <w:rPr>
                <w:noProof/>
                <w:webHidden/>
              </w:rPr>
              <w:fldChar w:fldCharType="separate"/>
            </w:r>
            <w:r w:rsidR="00B34DF3">
              <w:rPr>
                <w:noProof/>
                <w:webHidden/>
              </w:rPr>
              <w:t>29</w:t>
            </w:r>
            <w:r>
              <w:rPr>
                <w:noProof/>
                <w:webHidden/>
              </w:rPr>
              <w:fldChar w:fldCharType="end"/>
            </w:r>
          </w:hyperlink>
        </w:p>
        <w:p w14:paraId="2F85A685" w14:textId="46F61042" w:rsidR="00182622" w:rsidRDefault="00182622">
          <w:pPr>
            <w:pStyle w:val="TOC2"/>
            <w:tabs>
              <w:tab w:val="left" w:pos="960"/>
              <w:tab w:val="right" w:leader="dot" w:pos="9062"/>
            </w:tabs>
            <w:rPr>
              <w:rFonts w:eastAsiaTheme="minorEastAsia"/>
              <w:noProof/>
              <w:sz w:val="24"/>
              <w:szCs w:val="24"/>
              <w:lang w:eastAsia="fr-FR"/>
            </w:rPr>
          </w:pPr>
          <w:hyperlink w:anchor="_Toc227686358" w:history="1">
            <w:r w:rsidRPr="00E43CF2">
              <w:rPr>
                <w:rStyle w:val="Hyperlink"/>
                <w:noProof/>
              </w:rPr>
              <w:t>III.2.</w:t>
            </w:r>
            <w:r>
              <w:rPr>
                <w:rFonts w:eastAsiaTheme="minorEastAsia"/>
                <w:noProof/>
                <w:sz w:val="24"/>
                <w:szCs w:val="24"/>
                <w:lang w:eastAsia="fr-FR"/>
              </w:rPr>
              <w:tab/>
            </w:r>
            <w:r w:rsidRPr="00E43CF2">
              <w:rPr>
                <w:rStyle w:val="Hyperlink"/>
                <w:noProof/>
              </w:rPr>
              <w:t>Dispositifs de suivi, évaluation et vérification des résultats</w:t>
            </w:r>
            <w:r>
              <w:rPr>
                <w:noProof/>
                <w:webHidden/>
              </w:rPr>
              <w:tab/>
            </w:r>
            <w:r>
              <w:rPr>
                <w:noProof/>
                <w:webHidden/>
              </w:rPr>
              <w:fldChar w:fldCharType="begin"/>
            </w:r>
            <w:r>
              <w:rPr>
                <w:noProof/>
                <w:webHidden/>
              </w:rPr>
              <w:instrText xml:space="preserve"> PAGEREF _Toc227686358 \h </w:instrText>
            </w:r>
            <w:r>
              <w:rPr>
                <w:noProof/>
                <w:webHidden/>
              </w:rPr>
            </w:r>
            <w:r>
              <w:rPr>
                <w:noProof/>
                <w:webHidden/>
              </w:rPr>
              <w:fldChar w:fldCharType="separate"/>
            </w:r>
            <w:r w:rsidR="00B34DF3">
              <w:rPr>
                <w:noProof/>
                <w:webHidden/>
              </w:rPr>
              <w:t>30</w:t>
            </w:r>
            <w:r>
              <w:rPr>
                <w:noProof/>
                <w:webHidden/>
              </w:rPr>
              <w:fldChar w:fldCharType="end"/>
            </w:r>
          </w:hyperlink>
        </w:p>
        <w:p w14:paraId="3551FB42" w14:textId="25036B24" w:rsidR="00182622" w:rsidRDefault="00182622">
          <w:pPr>
            <w:pStyle w:val="TOC2"/>
            <w:tabs>
              <w:tab w:val="left" w:pos="960"/>
              <w:tab w:val="right" w:leader="dot" w:pos="9062"/>
            </w:tabs>
            <w:rPr>
              <w:rFonts w:eastAsiaTheme="minorEastAsia"/>
              <w:noProof/>
              <w:sz w:val="24"/>
              <w:szCs w:val="24"/>
              <w:lang w:eastAsia="fr-FR"/>
            </w:rPr>
          </w:pPr>
          <w:hyperlink w:anchor="_Toc227686359" w:history="1">
            <w:r w:rsidRPr="00E43CF2">
              <w:rPr>
                <w:rStyle w:val="Hyperlink"/>
                <w:noProof/>
              </w:rPr>
              <w:t>III.3.</w:t>
            </w:r>
            <w:r>
              <w:rPr>
                <w:rFonts w:eastAsiaTheme="minorEastAsia"/>
                <w:noProof/>
                <w:sz w:val="24"/>
                <w:szCs w:val="24"/>
                <w:lang w:eastAsia="fr-FR"/>
              </w:rPr>
              <w:tab/>
            </w:r>
            <w:r w:rsidRPr="00E43CF2">
              <w:rPr>
                <w:rStyle w:val="Hyperlink"/>
                <w:noProof/>
              </w:rPr>
              <w:t>Dispositifs de décaissement</w:t>
            </w:r>
            <w:r>
              <w:rPr>
                <w:noProof/>
                <w:webHidden/>
              </w:rPr>
              <w:tab/>
            </w:r>
            <w:r>
              <w:rPr>
                <w:noProof/>
                <w:webHidden/>
              </w:rPr>
              <w:fldChar w:fldCharType="begin"/>
            </w:r>
            <w:r>
              <w:rPr>
                <w:noProof/>
                <w:webHidden/>
              </w:rPr>
              <w:instrText xml:space="preserve"> PAGEREF _Toc227686359 \h </w:instrText>
            </w:r>
            <w:r>
              <w:rPr>
                <w:noProof/>
                <w:webHidden/>
              </w:rPr>
            </w:r>
            <w:r>
              <w:rPr>
                <w:noProof/>
                <w:webHidden/>
              </w:rPr>
              <w:fldChar w:fldCharType="separate"/>
            </w:r>
            <w:r w:rsidR="00B34DF3">
              <w:rPr>
                <w:noProof/>
                <w:webHidden/>
              </w:rPr>
              <w:t>30</w:t>
            </w:r>
            <w:r>
              <w:rPr>
                <w:noProof/>
                <w:webHidden/>
              </w:rPr>
              <w:fldChar w:fldCharType="end"/>
            </w:r>
          </w:hyperlink>
        </w:p>
        <w:p w14:paraId="2520DCA2" w14:textId="0DBE940F" w:rsidR="00182622" w:rsidRDefault="00182622">
          <w:pPr>
            <w:pStyle w:val="TOC2"/>
            <w:tabs>
              <w:tab w:val="left" w:pos="960"/>
              <w:tab w:val="right" w:leader="dot" w:pos="9062"/>
            </w:tabs>
            <w:rPr>
              <w:rFonts w:eastAsiaTheme="minorEastAsia"/>
              <w:noProof/>
              <w:sz w:val="24"/>
              <w:szCs w:val="24"/>
              <w:lang w:eastAsia="fr-FR"/>
            </w:rPr>
          </w:pPr>
          <w:hyperlink w:anchor="_Toc227686360" w:history="1">
            <w:r w:rsidRPr="00E43CF2">
              <w:rPr>
                <w:rStyle w:val="Hyperlink"/>
                <w:noProof/>
              </w:rPr>
              <w:t>III.4.</w:t>
            </w:r>
            <w:r>
              <w:rPr>
                <w:rFonts w:eastAsiaTheme="minorEastAsia"/>
                <w:noProof/>
                <w:sz w:val="24"/>
                <w:szCs w:val="24"/>
                <w:lang w:eastAsia="fr-FR"/>
              </w:rPr>
              <w:tab/>
            </w:r>
            <w:r w:rsidRPr="00E43CF2">
              <w:rPr>
                <w:rStyle w:val="Hyperlink"/>
                <w:noProof/>
              </w:rPr>
              <w:t>Partenaires d’exécution du Programme et organisations responsables uniquement de l’évaluation du système E&amp;S</w:t>
            </w:r>
            <w:r>
              <w:rPr>
                <w:noProof/>
                <w:webHidden/>
              </w:rPr>
              <w:tab/>
            </w:r>
            <w:r>
              <w:rPr>
                <w:noProof/>
                <w:webHidden/>
              </w:rPr>
              <w:fldChar w:fldCharType="begin"/>
            </w:r>
            <w:r>
              <w:rPr>
                <w:noProof/>
                <w:webHidden/>
              </w:rPr>
              <w:instrText xml:space="preserve"> PAGEREF _Toc227686360 \h </w:instrText>
            </w:r>
            <w:r>
              <w:rPr>
                <w:noProof/>
                <w:webHidden/>
              </w:rPr>
            </w:r>
            <w:r>
              <w:rPr>
                <w:noProof/>
                <w:webHidden/>
              </w:rPr>
              <w:fldChar w:fldCharType="separate"/>
            </w:r>
            <w:r w:rsidR="00B34DF3">
              <w:rPr>
                <w:noProof/>
                <w:webHidden/>
              </w:rPr>
              <w:t>31</w:t>
            </w:r>
            <w:r>
              <w:rPr>
                <w:noProof/>
                <w:webHidden/>
              </w:rPr>
              <w:fldChar w:fldCharType="end"/>
            </w:r>
          </w:hyperlink>
        </w:p>
        <w:p w14:paraId="78BCFB87" w14:textId="12D203DE" w:rsidR="00182622" w:rsidRDefault="00182622">
          <w:pPr>
            <w:pStyle w:val="TOC2"/>
            <w:tabs>
              <w:tab w:val="left" w:pos="960"/>
              <w:tab w:val="right" w:leader="dot" w:pos="9062"/>
            </w:tabs>
            <w:rPr>
              <w:rFonts w:eastAsiaTheme="minorEastAsia"/>
              <w:noProof/>
              <w:sz w:val="24"/>
              <w:szCs w:val="24"/>
              <w:lang w:eastAsia="fr-FR"/>
            </w:rPr>
          </w:pPr>
          <w:hyperlink w:anchor="_Toc227686361" w:history="1">
            <w:r w:rsidRPr="00E43CF2">
              <w:rPr>
                <w:rStyle w:val="Hyperlink"/>
                <w:noProof/>
              </w:rPr>
              <w:t>III.5.</w:t>
            </w:r>
            <w:r>
              <w:rPr>
                <w:rFonts w:eastAsiaTheme="minorEastAsia"/>
                <w:noProof/>
                <w:sz w:val="24"/>
                <w:szCs w:val="24"/>
                <w:lang w:eastAsia="fr-FR"/>
              </w:rPr>
              <w:tab/>
            </w:r>
            <w:r w:rsidRPr="00E43CF2">
              <w:rPr>
                <w:rStyle w:val="Hyperlink"/>
                <w:noProof/>
              </w:rPr>
              <w:t>Composante IPF</w:t>
            </w:r>
            <w:r>
              <w:rPr>
                <w:noProof/>
                <w:webHidden/>
              </w:rPr>
              <w:tab/>
            </w:r>
            <w:r>
              <w:rPr>
                <w:noProof/>
                <w:webHidden/>
              </w:rPr>
              <w:fldChar w:fldCharType="begin"/>
            </w:r>
            <w:r>
              <w:rPr>
                <w:noProof/>
                <w:webHidden/>
              </w:rPr>
              <w:instrText xml:space="preserve"> PAGEREF _Toc227686361 \h </w:instrText>
            </w:r>
            <w:r>
              <w:rPr>
                <w:noProof/>
                <w:webHidden/>
              </w:rPr>
            </w:r>
            <w:r>
              <w:rPr>
                <w:noProof/>
                <w:webHidden/>
              </w:rPr>
              <w:fldChar w:fldCharType="separate"/>
            </w:r>
            <w:r w:rsidR="00B34DF3">
              <w:rPr>
                <w:noProof/>
                <w:webHidden/>
              </w:rPr>
              <w:t>32</w:t>
            </w:r>
            <w:r>
              <w:rPr>
                <w:noProof/>
                <w:webHidden/>
              </w:rPr>
              <w:fldChar w:fldCharType="end"/>
            </w:r>
          </w:hyperlink>
        </w:p>
        <w:p w14:paraId="050A7198" w14:textId="5C657F2B" w:rsidR="00182622" w:rsidRDefault="00182622">
          <w:pPr>
            <w:pStyle w:val="TOC1"/>
            <w:tabs>
              <w:tab w:val="left" w:pos="720"/>
              <w:tab w:val="right" w:leader="dot" w:pos="9062"/>
            </w:tabs>
            <w:rPr>
              <w:rFonts w:eastAsiaTheme="minorEastAsia"/>
              <w:noProof/>
              <w:sz w:val="24"/>
              <w:szCs w:val="24"/>
              <w:lang w:eastAsia="fr-FR"/>
            </w:rPr>
          </w:pPr>
          <w:hyperlink w:anchor="_Toc227686362" w:history="1">
            <w:r w:rsidRPr="00E43CF2">
              <w:rPr>
                <w:rStyle w:val="Hyperlink"/>
                <w:noProof/>
              </w:rPr>
              <w:t>IV.</w:t>
            </w:r>
            <w:r>
              <w:rPr>
                <w:rFonts w:eastAsiaTheme="minorEastAsia"/>
                <w:noProof/>
                <w:sz w:val="24"/>
                <w:szCs w:val="24"/>
                <w:lang w:eastAsia="fr-FR"/>
              </w:rPr>
              <w:tab/>
            </w:r>
            <w:r w:rsidRPr="00E43CF2">
              <w:rPr>
                <w:rStyle w:val="Hyperlink"/>
                <w:noProof/>
              </w:rPr>
              <w:t>Impacts environnementaux et sociaux</w:t>
            </w:r>
            <w:r>
              <w:rPr>
                <w:noProof/>
                <w:webHidden/>
              </w:rPr>
              <w:tab/>
            </w:r>
            <w:r>
              <w:rPr>
                <w:noProof/>
                <w:webHidden/>
              </w:rPr>
              <w:fldChar w:fldCharType="begin"/>
            </w:r>
            <w:r>
              <w:rPr>
                <w:noProof/>
                <w:webHidden/>
              </w:rPr>
              <w:instrText xml:space="preserve"> PAGEREF _Toc227686362 \h </w:instrText>
            </w:r>
            <w:r>
              <w:rPr>
                <w:noProof/>
                <w:webHidden/>
              </w:rPr>
            </w:r>
            <w:r>
              <w:rPr>
                <w:noProof/>
                <w:webHidden/>
              </w:rPr>
              <w:fldChar w:fldCharType="separate"/>
            </w:r>
            <w:r w:rsidR="00B34DF3">
              <w:rPr>
                <w:noProof/>
                <w:webHidden/>
              </w:rPr>
              <w:t>34</w:t>
            </w:r>
            <w:r>
              <w:rPr>
                <w:noProof/>
                <w:webHidden/>
              </w:rPr>
              <w:fldChar w:fldCharType="end"/>
            </w:r>
          </w:hyperlink>
        </w:p>
        <w:p w14:paraId="7CB477F5" w14:textId="0BAD7FE9" w:rsidR="00182622" w:rsidRDefault="00182622">
          <w:pPr>
            <w:pStyle w:val="TOC2"/>
            <w:tabs>
              <w:tab w:val="left" w:pos="960"/>
              <w:tab w:val="right" w:leader="dot" w:pos="9062"/>
            </w:tabs>
            <w:rPr>
              <w:rFonts w:eastAsiaTheme="minorEastAsia"/>
              <w:noProof/>
              <w:sz w:val="24"/>
              <w:szCs w:val="24"/>
              <w:lang w:eastAsia="fr-FR"/>
            </w:rPr>
          </w:pPr>
          <w:hyperlink w:anchor="_Toc227686363" w:history="1">
            <w:r w:rsidRPr="00E43CF2">
              <w:rPr>
                <w:rStyle w:val="Hyperlink"/>
                <w:noProof/>
              </w:rPr>
              <w:t>IV.1.</w:t>
            </w:r>
            <w:r>
              <w:rPr>
                <w:rFonts w:eastAsiaTheme="minorEastAsia"/>
                <w:noProof/>
                <w:sz w:val="24"/>
                <w:szCs w:val="24"/>
                <w:lang w:eastAsia="fr-FR"/>
              </w:rPr>
              <w:tab/>
            </w:r>
            <w:r w:rsidRPr="00E43CF2">
              <w:rPr>
                <w:rStyle w:val="Hyperlink"/>
                <w:noProof/>
              </w:rPr>
              <w:t>Systèmes de gestion environnementale et sociale</w:t>
            </w:r>
            <w:r>
              <w:rPr>
                <w:noProof/>
                <w:webHidden/>
              </w:rPr>
              <w:tab/>
            </w:r>
            <w:r>
              <w:rPr>
                <w:noProof/>
                <w:webHidden/>
              </w:rPr>
              <w:fldChar w:fldCharType="begin"/>
            </w:r>
            <w:r>
              <w:rPr>
                <w:noProof/>
                <w:webHidden/>
              </w:rPr>
              <w:instrText xml:space="preserve"> PAGEREF _Toc227686363 \h </w:instrText>
            </w:r>
            <w:r>
              <w:rPr>
                <w:noProof/>
                <w:webHidden/>
              </w:rPr>
            </w:r>
            <w:r>
              <w:rPr>
                <w:noProof/>
                <w:webHidden/>
              </w:rPr>
              <w:fldChar w:fldCharType="separate"/>
            </w:r>
            <w:r w:rsidR="00B34DF3">
              <w:rPr>
                <w:noProof/>
                <w:webHidden/>
              </w:rPr>
              <w:t>34</w:t>
            </w:r>
            <w:r>
              <w:rPr>
                <w:noProof/>
                <w:webHidden/>
              </w:rPr>
              <w:fldChar w:fldCharType="end"/>
            </w:r>
          </w:hyperlink>
        </w:p>
        <w:p w14:paraId="326AE47F" w14:textId="10E46764" w:rsidR="00182622" w:rsidRDefault="00182622">
          <w:pPr>
            <w:pStyle w:val="TOC3"/>
            <w:tabs>
              <w:tab w:val="left" w:pos="1440"/>
              <w:tab w:val="right" w:leader="dot" w:pos="9062"/>
            </w:tabs>
            <w:rPr>
              <w:rFonts w:eastAsiaTheme="minorEastAsia"/>
              <w:noProof/>
              <w:sz w:val="24"/>
              <w:szCs w:val="24"/>
              <w:lang w:eastAsia="fr-FR"/>
            </w:rPr>
          </w:pPr>
          <w:hyperlink w:anchor="_Toc227686364" w:history="1">
            <w:r w:rsidRPr="00E43CF2">
              <w:rPr>
                <w:rStyle w:val="Hyperlink"/>
                <w:noProof/>
              </w:rPr>
              <w:t>IV.1.1.</w:t>
            </w:r>
            <w:r>
              <w:rPr>
                <w:rFonts w:eastAsiaTheme="minorEastAsia"/>
                <w:noProof/>
                <w:sz w:val="24"/>
                <w:szCs w:val="24"/>
                <w:lang w:eastAsia="fr-FR"/>
              </w:rPr>
              <w:tab/>
            </w:r>
            <w:r w:rsidRPr="00E43CF2">
              <w:rPr>
                <w:rStyle w:val="Hyperlink"/>
                <w:noProof/>
              </w:rPr>
              <w:t>Cadre institutionnel de la gestion environnementale</w:t>
            </w:r>
            <w:r>
              <w:rPr>
                <w:noProof/>
                <w:webHidden/>
              </w:rPr>
              <w:tab/>
            </w:r>
            <w:r>
              <w:rPr>
                <w:noProof/>
                <w:webHidden/>
              </w:rPr>
              <w:fldChar w:fldCharType="begin"/>
            </w:r>
            <w:r>
              <w:rPr>
                <w:noProof/>
                <w:webHidden/>
              </w:rPr>
              <w:instrText xml:space="preserve"> PAGEREF _Toc227686364 \h </w:instrText>
            </w:r>
            <w:r>
              <w:rPr>
                <w:noProof/>
                <w:webHidden/>
              </w:rPr>
            </w:r>
            <w:r>
              <w:rPr>
                <w:noProof/>
                <w:webHidden/>
              </w:rPr>
              <w:fldChar w:fldCharType="separate"/>
            </w:r>
            <w:r w:rsidR="00B34DF3">
              <w:rPr>
                <w:noProof/>
                <w:webHidden/>
              </w:rPr>
              <w:t>34</w:t>
            </w:r>
            <w:r>
              <w:rPr>
                <w:noProof/>
                <w:webHidden/>
              </w:rPr>
              <w:fldChar w:fldCharType="end"/>
            </w:r>
          </w:hyperlink>
        </w:p>
        <w:p w14:paraId="49CCA498" w14:textId="4FD89CE0" w:rsidR="00182622" w:rsidRDefault="00182622">
          <w:pPr>
            <w:pStyle w:val="TOC3"/>
            <w:tabs>
              <w:tab w:val="left" w:pos="1440"/>
              <w:tab w:val="right" w:leader="dot" w:pos="9062"/>
            </w:tabs>
            <w:rPr>
              <w:rFonts w:eastAsiaTheme="minorEastAsia"/>
              <w:noProof/>
              <w:sz w:val="24"/>
              <w:szCs w:val="24"/>
              <w:lang w:eastAsia="fr-FR"/>
            </w:rPr>
          </w:pPr>
          <w:hyperlink w:anchor="_Toc227686365" w:history="1">
            <w:r w:rsidRPr="00E43CF2">
              <w:rPr>
                <w:rStyle w:val="Hyperlink"/>
                <w:noProof/>
              </w:rPr>
              <w:t>IV.1.2.</w:t>
            </w:r>
            <w:r>
              <w:rPr>
                <w:rFonts w:eastAsiaTheme="minorEastAsia"/>
                <w:noProof/>
                <w:sz w:val="24"/>
                <w:szCs w:val="24"/>
                <w:lang w:eastAsia="fr-FR"/>
              </w:rPr>
              <w:tab/>
            </w:r>
            <w:r w:rsidRPr="00E43CF2">
              <w:rPr>
                <w:rStyle w:val="Hyperlink"/>
                <w:noProof/>
              </w:rPr>
              <w:t>Cadre institutionnel de la gestion sociale</w:t>
            </w:r>
            <w:r>
              <w:rPr>
                <w:noProof/>
                <w:webHidden/>
              </w:rPr>
              <w:tab/>
            </w:r>
            <w:r>
              <w:rPr>
                <w:noProof/>
                <w:webHidden/>
              </w:rPr>
              <w:fldChar w:fldCharType="begin"/>
            </w:r>
            <w:r>
              <w:rPr>
                <w:noProof/>
                <w:webHidden/>
              </w:rPr>
              <w:instrText xml:space="preserve"> PAGEREF _Toc227686365 \h </w:instrText>
            </w:r>
            <w:r>
              <w:rPr>
                <w:noProof/>
                <w:webHidden/>
              </w:rPr>
            </w:r>
            <w:r>
              <w:rPr>
                <w:noProof/>
                <w:webHidden/>
              </w:rPr>
              <w:fldChar w:fldCharType="separate"/>
            </w:r>
            <w:r w:rsidR="00B34DF3">
              <w:rPr>
                <w:noProof/>
                <w:webHidden/>
              </w:rPr>
              <w:t>37</w:t>
            </w:r>
            <w:r>
              <w:rPr>
                <w:noProof/>
                <w:webHidden/>
              </w:rPr>
              <w:fldChar w:fldCharType="end"/>
            </w:r>
          </w:hyperlink>
        </w:p>
        <w:p w14:paraId="4AD3277F" w14:textId="5D82DCA1" w:rsidR="00182622" w:rsidRDefault="00182622">
          <w:pPr>
            <w:pStyle w:val="TOC3"/>
            <w:tabs>
              <w:tab w:val="left" w:pos="1440"/>
              <w:tab w:val="right" w:leader="dot" w:pos="9062"/>
            </w:tabs>
            <w:rPr>
              <w:rFonts w:eastAsiaTheme="minorEastAsia"/>
              <w:noProof/>
              <w:sz w:val="24"/>
              <w:szCs w:val="24"/>
              <w:lang w:eastAsia="fr-FR"/>
            </w:rPr>
          </w:pPr>
          <w:hyperlink w:anchor="_Toc227686366" w:history="1">
            <w:r w:rsidRPr="00E43CF2">
              <w:rPr>
                <w:rStyle w:val="Hyperlink"/>
                <w:noProof/>
              </w:rPr>
              <w:t>IV.1.3.</w:t>
            </w:r>
            <w:r>
              <w:rPr>
                <w:rFonts w:eastAsiaTheme="minorEastAsia"/>
                <w:noProof/>
                <w:sz w:val="24"/>
                <w:szCs w:val="24"/>
                <w:lang w:eastAsia="fr-FR"/>
              </w:rPr>
              <w:tab/>
            </w:r>
            <w:r w:rsidRPr="00E43CF2">
              <w:rPr>
                <w:rStyle w:val="Hyperlink"/>
                <w:noProof/>
              </w:rPr>
              <w:t>Autres acteurs</w:t>
            </w:r>
            <w:r>
              <w:rPr>
                <w:noProof/>
                <w:webHidden/>
              </w:rPr>
              <w:tab/>
            </w:r>
            <w:r>
              <w:rPr>
                <w:noProof/>
                <w:webHidden/>
              </w:rPr>
              <w:fldChar w:fldCharType="begin"/>
            </w:r>
            <w:r>
              <w:rPr>
                <w:noProof/>
                <w:webHidden/>
              </w:rPr>
              <w:instrText xml:space="preserve"> PAGEREF _Toc227686366 \h </w:instrText>
            </w:r>
            <w:r>
              <w:rPr>
                <w:noProof/>
                <w:webHidden/>
              </w:rPr>
            </w:r>
            <w:r>
              <w:rPr>
                <w:noProof/>
                <w:webHidden/>
              </w:rPr>
              <w:fldChar w:fldCharType="separate"/>
            </w:r>
            <w:r w:rsidR="00B34DF3">
              <w:rPr>
                <w:noProof/>
                <w:webHidden/>
              </w:rPr>
              <w:t>41</w:t>
            </w:r>
            <w:r>
              <w:rPr>
                <w:noProof/>
                <w:webHidden/>
              </w:rPr>
              <w:fldChar w:fldCharType="end"/>
            </w:r>
          </w:hyperlink>
        </w:p>
        <w:p w14:paraId="219F0988" w14:textId="20591B7E" w:rsidR="00182622" w:rsidRDefault="00182622">
          <w:pPr>
            <w:pStyle w:val="TOC1"/>
            <w:tabs>
              <w:tab w:val="left" w:pos="440"/>
              <w:tab w:val="right" w:leader="dot" w:pos="9062"/>
            </w:tabs>
            <w:rPr>
              <w:rFonts w:eastAsiaTheme="minorEastAsia"/>
              <w:noProof/>
              <w:sz w:val="24"/>
              <w:szCs w:val="24"/>
              <w:lang w:eastAsia="fr-FR"/>
            </w:rPr>
          </w:pPr>
          <w:hyperlink w:anchor="_Toc227686367" w:history="1">
            <w:r w:rsidRPr="00E43CF2">
              <w:rPr>
                <w:rStyle w:val="Hyperlink"/>
                <w:noProof/>
              </w:rPr>
              <w:t>V.</w:t>
            </w:r>
            <w:r>
              <w:rPr>
                <w:rFonts w:eastAsiaTheme="minorEastAsia"/>
                <w:noProof/>
                <w:sz w:val="24"/>
                <w:szCs w:val="24"/>
                <w:lang w:eastAsia="fr-FR"/>
              </w:rPr>
              <w:tab/>
            </w:r>
            <w:r w:rsidRPr="00E43CF2">
              <w:rPr>
                <w:rStyle w:val="Hyperlink"/>
                <w:noProof/>
              </w:rPr>
              <w:t>CADRE LÉGISLATIF ET RÉGLEMENTAIRE DE LA GESTION ENVIRONNEMENTALE ET SOCIALE</w:t>
            </w:r>
            <w:r>
              <w:rPr>
                <w:noProof/>
                <w:webHidden/>
              </w:rPr>
              <w:tab/>
            </w:r>
            <w:r>
              <w:rPr>
                <w:noProof/>
                <w:webHidden/>
              </w:rPr>
              <w:fldChar w:fldCharType="begin"/>
            </w:r>
            <w:r>
              <w:rPr>
                <w:noProof/>
                <w:webHidden/>
              </w:rPr>
              <w:instrText xml:space="preserve"> PAGEREF _Toc227686367 \h </w:instrText>
            </w:r>
            <w:r>
              <w:rPr>
                <w:noProof/>
                <w:webHidden/>
              </w:rPr>
            </w:r>
            <w:r>
              <w:rPr>
                <w:noProof/>
                <w:webHidden/>
              </w:rPr>
              <w:fldChar w:fldCharType="separate"/>
            </w:r>
            <w:r w:rsidR="00B34DF3">
              <w:rPr>
                <w:noProof/>
                <w:webHidden/>
              </w:rPr>
              <w:t>44</w:t>
            </w:r>
            <w:r>
              <w:rPr>
                <w:noProof/>
                <w:webHidden/>
              </w:rPr>
              <w:fldChar w:fldCharType="end"/>
            </w:r>
          </w:hyperlink>
        </w:p>
        <w:p w14:paraId="6D3D6A70" w14:textId="7BD4914F" w:rsidR="00182622" w:rsidRDefault="00182622">
          <w:pPr>
            <w:pStyle w:val="TOC2"/>
            <w:tabs>
              <w:tab w:val="left" w:pos="960"/>
              <w:tab w:val="right" w:leader="dot" w:pos="9062"/>
            </w:tabs>
            <w:rPr>
              <w:rFonts w:eastAsiaTheme="minorEastAsia"/>
              <w:noProof/>
              <w:sz w:val="24"/>
              <w:szCs w:val="24"/>
              <w:lang w:eastAsia="fr-FR"/>
            </w:rPr>
          </w:pPr>
          <w:hyperlink w:anchor="_Toc227686368" w:history="1">
            <w:r w:rsidRPr="00E43CF2">
              <w:rPr>
                <w:rStyle w:val="Hyperlink"/>
                <w:noProof/>
              </w:rPr>
              <w:t>V.1.</w:t>
            </w:r>
            <w:r>
              <w:rPr>
                <w:rFonts w:eastAsiaTheme="minorEastAsia"/>
                <w:noProof/>
                <w:sz w:val="24"/>
                <w:szCs w:val="24"/>
                <w:lang w:eastAsia="fr-FR"/>
              </w:rPr>
              <w:tab/>
            </w:r>
            <w:r w:rsidRPr="00E43CF2">
              <w:rPr>
                <w:rStyle w:val="Hyperlink"/>
                <w:noProof/>
              </w:rPr>
              <w:t>Procédures nationales d’évaluation environnementale</w:t>
            </w:r>
            <w:r>
              <w:rPr>
                <w:noProof/>
                <w:webHidden/>
              </w:rPr>
              <w:tab/>
            </w:r>
            <w:r>
              <w:rPr>
                <w:noProof/>
                <w:webHidden/>
              </w:rPr>
              <w:fldChar w:fldCharType="begin"/>
            </w:r>
            <w:r>
              <w:rPr>
                <w:noProof/>
                <w:webHidden/>
              </w:rPr>
              <w:instrText xml:space="preserve"> PAGEREF _Toc227686368 \h </w:instrText>
            </w:r>
            <w:r>
              <w:rPr>
                <w:noProof/>
                <w:webHidden/>
              </w:rPr>
            </w:r>
            <w:r>
              <w:rPr>
                <w:noProof/>
                <w:webHidden/>
              </w:rPr>
              <w:fldChar w:fldCharType="separate"/>
            </w:r>
            <w:r w:rsidR="00B34DF3">
              <w:rPr>
                <w:noProof/>
                <w:webHidden/>
              </w:rPr>
              <w:t>44</w:t>
            </w:r>
            <w:r>
              <w:rPr>
                <w:noProof/>
                <w:webHidden/>
              </w:rPr>
              <w:fldChar w:fldCharType="end"/>
            </w:r>
          </w:hyperlink>
        </w:p>
        <w:p w14:paraId="68294831" w14:textId="7C7B94C3" w:rsidR="00182622" w:rsidRDefault="00182622">
          <w:pPr>
            <w:pStyle w:val="TOC2"/>
            <w:tabs>
              <w:tab w:val="left" w:pos="960"/>
              <w:tab w:val="right" w:leader="dot" w:pos="9062"/>
            </w:tabs>
            <w:rPr>
              <w:rFonts w:eastAsiaTheme="minorEastAsia"/>
              <w:noProof/>
              <w:sz w:val="24"/>
              <w:szCs w:val="24"/>
              <w:lang w:eastAsia="fr-FR"/>
            </w:rPr>
          </w:pPr>
          <w:hyperlink w:anchor="_Toc227686369" w:history="1">
            <w:r w:rsidRPr="00E43CF2">
              <w:rPr>
                <w:rStyle w:val="Hyperlink"/>
                <w:noProof/>
              </w:rPr>
              <w:t>V.2.</w:t>
            </w:r>
            <w:r>
              <w:rPr>
                <w:rFonts w:eastAsiaTheme="minorEastAsia"/>
                <w:noProof/>
                <w:sz w:val="24"/>
                <w:szCs w:val="24"/>
                <w:lang w:eastAsia="fr-FR"/>
              </w:rPr>
              <w:tab/>
            </w:r>
            <w:r w:rsidRPr="00E43CF2">
              <w:rPr>
                <w:rStyle w:val="Hyperlink"/>
                <w:noProof/>
              </w:rPr>
              <w:t>CADRE RÉGLEMENTAIRE DES ÉVALUATIONS SOCIALES</w:t>
            </w:r>
            <w:r>
              <w:rPr>
                <w:noProof/>
                <w:webHidden/>
              </w:rPr>
              <w:tab/>
            </w:r>
            <w:r>
              <w:rPr>
                <w:noProof/>
                <w:webHidden/>
              </w:rPr>
              <w:fldChar w:fldCharType="begin"/>
            </w:r>
            <w:r>
              <w:rPr>
                <w:noProof/>
                <w:webHidden/>
              </w:rPr>
              <w:instrText xml:space="preserve"> PAGEREF _Toc227686369 \h </w:instrText>
            </w:r>
            <w:r>
              <w:rPr>
                <w:noProof/>
                <w:webHidden/>
              </w:rPr>
            </w:r>
            <w:r>
              <w:rPr>
                <w:noProof/>
                <w:webHidden/>
              </w:rPr>
              <w:fldChar w:fldCharType="separate"/>
            </w:r>
            <w:r w:rsidR="00B34DF3">
              <w:rPr>
                <w:noProof/>
                <w:webHidden/>
              </w:rPr>
              <w:t>47</w:t>
            </w:r>
            <w:r>
              <w:rPr>
                <w:noProof/>
                <w:webHidden/>
              </w:rPr>
              <w:fldChar w:fldCharType="end"/>
            </w:r>
          </w:hyperlink>
        </w:p>
        <w:p w14:paraId="12C3633C" w14:textId="1FD0A73B" w:rsidR="00182622" w:rsidRDefault="00182622">
          <w:pPr>
            <w:pStyle w:val="TOC3"/>
            <w:tabs>
              <w:tab w:val="left" w:pos="1200"/>
              <w:tab w:val="right" w:leader="dot" w:pos="9062"/>
            </w:tabs>
            <w:rPr>
              <w:rFonts w:eastAsiaTheme="minorEastAsia"/>
              <w:noProof/>
              <w:sz w:val="24"/>
              <w:szCs w:val="24"/>
              <w:lang w:eastAsia="fr-FR"/>
            </w:rPr>
          </w:pPr>
          <w:hyperlink w:anchor="_Toc227686370" w:history="1">
            <w:r w:rsidRPr="00E43CF2">
              <w:rPr>
                <w:rStyle w:val="Hyperlink"/>
                <w:noProof/>
              </w:rPr>
              <w:t>V.2.1.</w:t>
            </w:r>
            <w:r>
              <w:rPr>
                <w:rFonts w:eastAsiaTheme="minorEastAsia"/>
                <w:noProof/>
                <w:sz w:val="24"/>
                <w:szCs w:val="24"/>
                <w:lang w:eastAsia="fr-FR"/>
              </w:rPr>
              <w:tab/>
            </w:r>
            <w:r w:rsidRPr="00E43CF2">
              <w:rPr>
                <w:rStyle w:val="Hyperlink"/>
                <w:noProof/>
              </w:rPr>
              <w:t>La Constitution</w:t>
            </w:r>
            <w:r>
              <w:rPr>
                <w:noProof/>
                <w:webHidden/>
              </w:rPr>
              <w:tab/>
            </w:r>
            <w:r>
              <w:rPr>
                <w:noProof/>
                <w:webHidden/>
              </w:rPr>
              <w:fldChar w:fldCharType="begin"/>
            </w:r>
            <w:r>
              <w:rPr>
                <w:noProof/>
                <w:webHidden/>
              </w:rPr>
              <w:instrText xml:space="preserve"> PAGEREF _Toc227686370 \h </w:instrText>
            </w:r>
            <w:r>
              <w:rPr>
                <w:noProof/>
                <w:webHidden/>
              </w:rPr>
            </w:r>
            <w:r>
              <w:rPr>
                <w:noProof/>
                <w:webHidden/>
              </w:rPr>
              <w:fldChar w:fldCharType="separate"/>
            </w:r>
            <w:r w:rsidR="00B34DF3">
              <w:rPr>
                <w:noProof/>
                <w:webHidden/>
              </w:rPr>
              <w:t>47</w:t>
            </w:r>
            <w:r>
              <w:rPr>
                <w:noProof/>
                <w:webHidden/>
              </w:rPr>
              <w:fldChar w:fldCharType="end"/>
            </w:r>
          </w:hyperlink>
        </w:p>
        <w:p w14:paraId="6CC2A9B2" w14:textId="45158C60" w:rsidR="00182622" w:rsidRDefault="00182622">
          <w:pPr>
            <w:pStyle w:val="TOC3"/>
            <w:tabs>
              <w:tab w:val="left" w:pos="1200"/>
              <w:tab w:val="right" w:leader="dot" w:pos="9062"/>
            </w:tabs>
            <w:rPr>
              <w:rFonts w:eastAsiaTheme="minorEastAsia"/>
              <w:noProof/>
              <w:sz w:val="24"/>
              <w:szCs w:val="24"/>
              <w:lang w:eastAsia="fr-FR"/>
            </w:rPr>
          </w:pPr>
          <w:hyperlink w:anchor="_Toc227686371" w:history="1">
            <w:r w:rsidRPr="00E43CF2">
              <w:rPr>
                <w:rStyle w:val="Hyperlink"/>
                <w:noProof/>
              </w:rPr>
              <w:t>V.2.2.</w:t>
            </w:r>
            <w:r>
              <w:rPr>
                <w:rFonts w:eastAsiaTheme="minorEastAsia"/>
                <w:noProof/>
                <w:sz w:val="24"/>
                <w:szCs w:val="24"/>
                <w:lang w:eastAsia="fr-FR"/>
              </w:rPr>
              <w:tab/>
            </w:r>
            <w:r w:rsidRPr="00E43CF2">
              <w:rPr>
                <w:rStyle w:val="Hyperlink"/>
                <w:noProof/>
              </w:rPr>
              <w:t>Régime foncier</w:t>
            </w:r>
            <w:r>
              <w:rPr>
                <w:noProof/>
                <w:webHidden/>
              </w:rPr>
              <w:tab/>
            </w:r>
            <w:r>
              <w:rPr>
                <w:noProof/>
                <w:webHidden/>
              </w:rPr>
              <w:fldChar w:fldCharType="begin"/>
            </w:r>
            <w:r>
              <w:rPr>
                <w:noProof/>
                <w:webHidden/>
              </w:rPr>
              <w:instrText xml:space="preserve"> PAGEREF _Toc227686371 \h </w:instrText>
            </w:r>
            <w:r>
              <w:rPr>
                <w:noProof/>
                <w:webHidden/>
              </w:rPr>
            </w:r>
            <w:r>
              <w:rPr>
                <w:noProof/>
                <w:webHidden/>
              </w:rPr>
              <w:fldChar w:fldCharType="separate"/>
            </w:r>
            <w:r w:rsidR="00B34DF3">
              <w:rPr>
                <w:noProof/>
                <w:webHidden/>
              </w:rPr>
              <w:t>47</w:t>
            </w:r>
            <w:r>
              <w:rPr>
                <w:noProof/>
                <w:webHidden/>
              </w:rPr>
              <w:fldChar w:fldCharType="end"/>
            </w:r>
          </w:hyperlink>
        </w:p>
        <w:p w14:paraId="02F4F4A6" w14:textId="18C05BB7" w:rsidR="00182622" w:rsidRDefault="00182622">
          <w:pPr>
            <w:pStyle w:val="TOC3"/>
            <w:tabs>
              <w:tab w:val="left" w:pos="1200"/>
              <w:tab w:val="right" w:leader="dot" w:pos="9062"/>
            </w:tabs>
            <w:rPr>
              <w:rFonts w:eastAsiaTheme="minorEastAsia"/>
              <w:noProof/>
              <w:sz w:val="24"/>
              <w:szCs w:val="24"/>
              <w:lang w:eastAsia="fr-FR"/>
            </w:rPr>
          </w:pPr>
          <w:hyperlink w:anchor="_Toc227686372" w:history="1">
            <w:r w:rsidRPr="00E43CF2">
              <w:rPr>
                <w:rStyle w:val="Hyperlink"/>
                <w:noProof/>
              </w:rPr>
              <w:t>V.2.3.</w:t>
            </w:r>
            <w:r>
              <w:rPr>
                <w:rFonts w:eastAsiaTheme="minorEastAsia"/>
                <w:noProof/>
                <w:sz w:val="24"/>
                <w:szCs w:val="24"/>
                <w:lang w:eastAsia="fr-FR"/>
              </w:rPr>
              <w:tab/>
            </w:r>
            <w:r w:rsidRPr="00E43CF2">
              <w:rPr>
                <w:rStyle w:val="Hyperlink"/>
                <w:noProof/>
              </w:rPr>
              <w:t>Législation du travail</w:t>
            </w:r>
            <w:r>
              <w:rPr>
                <w:noProof/>
                <w:webHidden/>
              </w:rPr>
              <w:tab/>
            </w:r>
            <w:r>
              <w:rPr>
                <w:noProof/>
                <w:webHidden/>
              </w:rPr>
              <w:fldChar w:fldCharType="begin"/>
            </w:r>
            <w:r>
              <w:rPr>
                <w:noProof/>
                <w:webHidden/>
              </w:rPr>
              <w:instrText xml:space="preserve"> PAGEREF _Toc227686372 \h </w:instrText>
            </w:r>
            <w:r>
              <w:rPr>
                <w:noProof/>
                <w:webHidden/>
              </w:rPr>
            </w:r>
            <w:r>
              <w:rPr>
                <w:noProof/>
                <w:webHidden/>
              </w:rPr>
              <w:fldChar w:fldCharType="separate"/>
            </w:r>
            <w:r w:rsidR="00B34DF3">
              <w:rPr>
                <w:noProof/>
                <w:webHidden/>
              </w:rPr>
              <w:t>49</w:t>
            </w:r>
            <w:r>
              <w:rPr>
                <w:noProof/>
                <w:webHidden/>
              </w:rPr>
              <w:fldChar w:fldCharType="end"/>
            </w:r>
          </w:hyperlink>
        </w:p>
        <w:p w14:paraId="0A5A35D6" w14:textId="48133675" w:rsidR="00182622" w:rsidRDefault="00182622">
          <w:pPr>
            <w:pStyle w:val="TOC3"/>
            <w:tabs>
              <w:tab w:val="left" w:pos="1200"/>
              <w:tab w:val="right" w:leader="dot" w:pos="9062"/>
            </w:tabs>
            <w:rPr>
              <w:rFonts w:eastAsiaTheme="minorEastAsia"/>
              <w:noProof/>
              <w:sz w:val="24"/>
              <w:szCs w:val="24"/>
              <w:lang w:eastAsia="fr-FR"/>
            </w:rPr>
          </w:pPr>
          <w:hyperlink w:anchor="_Toc227686373" w:history="1">
            <w:r w:rsidRPr="00E43CF2">
              <w:rPr>
                <w:rStyle w:val="Hyperlink"/>
                <w:noProof/>
              </w:rPr>
              <w:t>V.2.4.</w:t>
            </w:r>
            <w:r>
              <w:rPr>
                <w:rFonts w:eastAsiaTheme="minorEastAsia"/>
                <w:noProof/>
                <w:sz w:val="24"/>
                <w:szCs w:val="24"/>
                <w:lang w:eastAsia="fr-FR"/>
              </w:rPr>
              <w:tab/>
            </w:r>
            <w:r w:rsidRPr="00E43CF2">
              <w:rPr>
                <w:rStyle w:val="Hyperlink"/>
                <w:noProof/>
              </w:rPr>
              <w:t>Gestion des contentieux en Mauritanie</w:t>
            </w:r>
            <w:r>
              <w:rPr>
                <w:noProof/>
                <w:webHidden/>
              </w:rPr>
              <w:tab/>
            </w:r>
            <w:r>
              <w:rPr>
                <w:noProof/>
                <w:webHidden/>
              </w:rPr>
              <w:fldChar w:fldCharType="begin"/>
            </w:r>
            <w:r>
              <w:rPr>
                <w:noProof/>
                <w:webHidden/>
              </w:rPr>
              <w:instrText xml:space="preserve"> PAGEREF _Toc227686373 \h </w:instrText>
            </w:r>
            <w:r>
              <w:rPr>
                <w:noProof/>
                <w:webHidden/>
              </w:rPr>
            </w:r>
            <w:r>
              <w:rPr>
                <w:noProof/>
                <w:webHidden/>
              </w:rPr>
              <w:fldChar w:fldCharType="separate"/>
            </w:r>
            <w:r w:rsidR="00B34DF3">
              <w:rPr>
                <w:noProof/>
                <w:webHidden/>
              </w:rPr>
              <w:t>51</w:t>
            </w:r>
            <w:r>
              <w:rPr>
                <w:noProof/>
                <w:webHidden/>
              </w:rPr>
              <w:fldChar w:fldCharType="end"/>
            </w:r>
          </w:hyperlink>
        </w:p>
        <w:p w14:paraId="41D008B1" w14:textId="0538FD73" w:rsidR="00182622" w:rsidRDefault="00182622">
          <w:pPr>
            <w:pStyle w:val="TOC3"/>
            <w:tabs>
              <w:tab w:val="left" w:pos="1200"/>
              <w:tab w:val="right" w:leader="dot" w:pos="9062"/>
            </w:tabs>
            <w:rPr>
              <w:rFonts w:eastAsiaTheme="minorEastAsia"/>
              <w:noProof/>
              <w:sz w:val="24"/>
              <w:szCs w:val="24"/>
              <w:lang w:eastAsia="fr-FR"/>
            </w:rPr>
          </w:pPr>
          <w:hyperlink w:anchor="_Toc227686374" w:history="1">
            <w:r w:rsidRPr="00E43CF2">
              <w:rPr>
                <w:rStyle w:val="Hyperlink"/>
                <w:noProof/>
              </w:rPr>
              <w:t>V.2.5.</w:t>
            </w:r>
            <w:r>
              <w:rPr>
                <w:rFonts w:eastAsiaTheme="minorEastAsia"/>
                <w:noProof/>
                <w:sz w:val="24"/>
                <w:szCs w:val="24"/>
                <w:lang w:eastAsia="fr-FR"/>
              </w:rPr>
              <w:tab/>
            </w:r>
            <w:r w:rsidRPr="00E43CF2">
              <w:rPr>
                <w:rStyle w:val="Hyperlink"/>
                <w:noProof/>
              </w:rPr>
              <w:t>Commission nationale des droits de l’homme (CNDH)</w:t>
            </w:r>
            <w:r>
              <w:rPr>
                <w:noProof/>
                <w:webHidden/>
              </w:rPr>
              <w:tab/>
            </w:r>
            <w:r>
              <w:rPr>
                <w:noProof/>
                <w:webHidden/>
              </w:rPr>
              <w:fldChar w:fldCharType="begin"/>
            </w:r>
            <w:r>
              <w:rPr>
                <w:noProof/>
                <w:webHidden/>
              </w:rPr>
              <w:instrText xml:space="preserve"> PAGEREF _Toc227686374 \h </w:instrText>
            </w:r>
            <w:r>
              <w:rPr>
                <w:noProof/>
                <w:webHidden/>
              </w:rPr>
            </w:r>
            <w:r>
              <w:rPr>
                <w:noProof/>
                <w:webHidden/>
              </w:rPr>
              <w:fldChar w:fldCharType="separate"/>
            </w:r>
            <w:r w:rsidR="00B34DF3">
              <w:rPr>
                <w:noProof/>
                <w:webHidden/>
              </w:rPr>
              <w:t>51</w:t>
            </w:r>
            <w:r>
              <w:rPr>
                <w:noProof/>
                <w:webHidden/>
              </w:rPr>
              <w:fldChar w:fldCharType="end"/>
            </w:r>
          </w:hyperlink>
        </w:p>
        <w:p w14:paraId="64EA56BD" w14:textId="5673A1B9" w:rsidR="00182622" w:rsidRDefault="00182622">
          <w:pPr>
            <w:pStyle w:val="TOC3"/>
            <w:tabs>
              <w:tab w:val="left" w:pos="1200"/>
              <w:tab w:val="right" w:leader="dot" w:pos="9062"/>
            </w:tabs>
            <w:rPr>
              <w:rFonts w:eastAsiaTheme="minorEastAsia"/>
              <w:noProof/>
              <w:sz w:val="24"/>
              <w:szCs w:val="24"/>
              <w:lang w:eastAsia="fr-FR"/>
            </w:rPr>
          </w:pPr>
          <w:hyperlink w:anchor="_Toc227686375" w:history="1">
            <w:r w:rsidRPr="00E43CF2">
              <w:rPr>
                <w:rStyle w:val="Hyperlink"/>
                <w:noProof/>
              </w:rPr>
              <w:t>V.2.6.</w:t>
            </w:r>
            <w:r>
              <w:rPr>
                <w:rFonts w:eastAsiaTheme="minorEastAsia"/>
                <w:noProof/>
                <w:sz w:val="24"/>
                <w:szCs w:val="24"/>
                <w:lang w:eastAsia="fr-FR"/>
              </w:rPr>
              <w:tab/>
            </w:r>
            <w:r w:rsidRPr="00E43CF2">
              <w:rPr>
                <w:rStyle w:val="Hyperlink"/>
                <w:noProof/>
              </w:rPr>
              <w:t>Stratégie nationale d’institutionnalisation du genre (SNIG 2015)</w:t>
            </w:r>
            <w:r>
              <w:rPr>
                <w:noProof/>
                <w:webHidden/>
              </w:rPr>
              <w:tab/>
            </w:r>
            <w:r>
              <w:rPr>
                <w:noProof/>
                <w:webHidden/>
              </w:rPr>
              <w:fldChar w:fldCharType="begin"/>
            </w:r>
            <w:r>
              <w:rPr>
                <w:noProof/>
                <w:webHidden/>
              </w:rPr>
              <w:instrText xml:space="preserve"> PAGEREF _Toc227686375 \h </w:instrText>
            </w:r>
            <w:r>
              <w:rPr>
                <w:noProof/>
                <w:webHidden/>
              </w:rPr>
            </w:r>
            <w:r>
              <w:rPr>
                <w:noProof/>
                <w:webHidden/>
              </w:rPr>
              <w:fldChar w:fldCharType="separate"/>
            </w:r>
            <w:r w:rsidR="00B34DF3">
              <w:rPr>
                <w:noProof/>
                <w:webHidden/>
              </w:rPr>
              <w:t>51</w:t>
            </w:r>
            <w:r>
              <w:rPr>
                <w:noProof/>
                <w:webHidden/>
              </w:rPr>
              <w:fldChar w:fldCharType="end"/>
            </w:r>
          </w:hyperlink>
        </w:p>
        <w:p w14:paraId="0D0E8986" w14:textId="5E669575" w:rsidR="00182622" w:rsidRDefault="00182622">
          <w:pPr>
            <w:pStyle w:val="TOC2"/>
            <w:tabs>
              <w:tab w:val="left" w:pos="960"/>
              <w:tab w:val="right" w:leader="dot" w:pos="9062"/>
            </w:tabs>
            <w:rPr>
              <w:rFonts w:eastAsiaTheme="minorEastAsia"/>
              <w:noProof/>
              <w:sz w:val="24"/>
              <w:szCs w:val="24"/>
              <w:lang w:eastAsia="fr-FR"/>
            </w:rPr>
          </w:pPr>
          <w:hyperlink w:anchor="_Toc227686376" w:history="1">
            <w:r w:rsidRPr="00E43CF2">
              <w:rPr>
                <w:rStyle w:val="Hyperlink"/>
                <w:noProof/>
              </w:rPr>
              <w:t>V.3.</w:t>
            </w:r>
            <w:r>
              <w:rPr>
                <w:rFonts w:eastAsiaTheme="minorEastAsia"/>
                <w:noProof/>
                <w:sz w:val="24"/>
                <w:szCs w:val="24"/>
                <w:lang w:eastAsia="fr-FR"/>
              </w:rPr>
              <w:tab/>
            </w:r>
            <w:r w:rsidRPr="00E43CF2">
              <w:rPr>
                <w:rStyle w:val="Hyperlink"/>
                <w:noProof/>
              </w:rPr>
              <w:t>Procédures de sélection environnementale et sociale des projets</w:t>
            </w:r>
            <w:r>
              <w:rPr>
                <w:noProof/>
                <w:webHidden/>
              </w:rPr>
              <w:tab/>
            </w:r>
            <w:r>
              <w:rPr>
                <w:noProof/>
                <w:webHidden/>
              </w:rPr>
              <w:fldChar w:fldCharType="begin"/>
            </w:r>
            <w:r>
              <w:rPr>
                <w:noProof/>
                <w:webHidden/>
              </w:rPr>
              <w:instrText xml:space="preserve"> PAGEREF _Toc227686376 \h </w:instrText>
            </w:r>
            <w:r>
              <w:rPr>
                <w:noProof/>
                <w:webHidden/>
              </w:rPr>
            </w:r>
            <w:r>
              <w:rPr>
                <w:noProof/>
                <w:webHidden/>
              </w:rPr>
              <w:fldChar w:fldCharType="separate"/>
            </w:r>
            <w:r w:rsidR="00B34DF3">
              <w:rPr>
                <w:noProof/>
                <w:webHidden/>
              </w:rPr>
              <w:t>52</w:t>
            </w:r>
            <w:r>
              <w:rPr>
                <w:noProof/>
                <w:webHidden/>
              </w:rPr>
              <w:fldChar w:fldCharType="end"/>
            </w:r>
          </w:hyperlink>
        </w:p>
        <w:p w14:paraId="01BE8CA3" w14:textId="008E725D" w:rsidR="00182622" w:rsidRDefault="00182622">
          <w:pPr>
            <w:pStyle w:val="TOC1"/>
            <w:tabs>
              <w:tab w:val="left" w:pos="720"/>
              <w:tab w:val="right" w:leader="dot" w:pos="9062"/>
            </w:tabs>
            <w:rPr>
              <w:rFonts w:eastAsiaTheme="minorEastAsia"/>
              <w:noProof/>
              <w:sz w:val="24"/>
              <w:szCs w:val="24"/>
              <w:lang w:eastAsia="fr-FR"/>
            </w:rPr>
          </w:pPr>
          <w:hyperlink w:anchor="_Toc227686377" w:history="1">
            <w:r w:rsidRPr="00E43CF2">
              <w:rPr>
                <w:rStyle w:val="Hyperlink"/>
                <w:noProof/>
              </w:rPr>
              <w:t>VI.</w:t>
            </w:r>
            <w:r>
              <w:rPr>
                <w:rFonts w:eastAsiaTheme="minorEastAsia"/>
                <w:noProof/>
                <w:sz w:val="24"/>
                <w:szCs w:val="24"/>
                <w:lang w:eastAsia="fr-FR"/>
              </w:rPr>
              <w:tab/>
            </w:r>
            <w:r w:rsidRPr="00E43CF2">
              <w:rPr>
                <w:rStyle w:val="Hyperlink"/>
                <w:noProof/>
              </w:rPr>
              <w:t>ÉVALUATION DES CAPACITÉS</w:t>
            </w:r>
            <w:r>
              <w:rPr>
                <w:noProof/>
                <w:webHidden/>
              </w:rPr>
              <w:tab/>
            </w:r>
            <w:r>
              <w:rPr>
                <w:noProof/>
                <w:webHidden/>
              </w:rPr>
              <w:fldChar w:fldCharType="begin"/>
            </w:r>
            <w:r>
              <w:rPr>
                <w:noProof/>
                <w:webHidden/>
              </w:rPr>
              <w:instrText xml:space="preserve"> PAGEREF _Toc227686377 \h </w:instrText>
            </w:r>
            <w:r>
              <w:rPr>
                <w:noProof/>
                <w:webHidden/>
              </w:rPr>
            </w:r>
            <w:r>
              <w:rPr>
                <w:noProof/>
                <w:webHidden/>
              </w:rPr>
              <w:fldChar w:fldCharType="separate"/>
            </w:r>
            <w:r w:rsidR="00B34DF3">
              <w:rPr>
                <w:noProof/>
                <w:webHidden/>
              </w:rPr>
              <w:t>53</w:t>
            </w:r>
            <w:r>
              <w:rPr>
                <w:noProof/>
                <w:webHidden/>
              </w:rPr>
              <w:fldChar w:fldCharType="end"/>
            </w:r>
          </w:hyperlink>
        </w:p>
        <w:p w14:paraId="0625EA1D" w14:textId="11114858" w:rsidR="00182622" w:rsidRDefault="00182622">
          <w:pPr>
            <w:pStyle w:val="TOC2"/>
            <w:tabs>
              <w:tab w:val="left" w:pos="960"/>
              <w:tab w:val="right" w:leader="dot" w:pos="9062"/>
            </w:tabs>
            <w:rPr>
              <w:rFonts w:eastAsiaTheme="minorEastAsia"/>
              <w:noProof/>
              <w:sz w:val="24"/>
              <w:szCs w:val="24"/>
              <w:lang w:eastAsia="fr-FR"/>
            </w:rPr>
          </w:pPr>
          <w:hyperlink w:anchor="_Toc227686378" w:history="1">
            <w:r w:rsidRPr="00E43CF2">
              <w:rPr>
                <w:rStyle w:val="Hyperlink"/>
                <w:noProof/>
              </w:rPr>
              <w:t>VI.1.</w:t>
            </w:r>
            <w:r>
              <w:rPr>
                <w:rFonts w:eastAsiaTheme="minorEastAsia"/>
                <w:noProof/>
                <w:sz w:val="24"/>
                <w:szCs w:val="24"/>
                <w:lang w:eastAsia="fr-FR"/>
              </w:rPr>
              <w:tab/>
            </w:r>
            <w:r w:rsidRPr="00E43CF2">
              <w:rPr>
                <w:rStyle w:val="Hyperlink"/>
                <w:noProof/>
              </w:rPr>
              <w:t>Cadre institutionnel, politiques et stratégies</w:t>
            </w:r>
            <w:r>
              <w:rPr>
                <w:noProof/>
                <w:webHidden/>
              </w:rPr>
              <w:tab/>
            </w:r>
            <w:r>
              <w:rPr>
                <w:noProof/>
                <w:webHidden/>
              </w:rPr>
              <w:fldChar w:fldCharType="begin"/>
            </w:r>
            <w:r>
              <w:rPr>
                <w:noProof/>
                <w:webHidden/>
              </w:rPr>
              <w:instrText xml:space="preserve"> PAGEREF _Toc227686378 \h </w:instrText>
            </w:r>
            <w:r>
              <w:rPr>
                <w:noProof/>
                <w:webHidden/>
              </w:rPr>
            </w:r>
            <w:r>
              <w:rPr>
                <w:noProof/>
                <w:webHidden/>
              </w:rPr>
              <w:fldChar w:fldCharType="separate"/>
            </w:r>
            <w:r w:rsidR="00B34DF3">
              <w:rPr>
                <w:noProof/>
                <w:webHidden/>
              </w:rPr>
              <w:t>53</w:t>
            </w:r>
            <w:r>
              <w:rPr>
                <w:noProof/>
                <w:webHidden/>
              </w:rPr>
              <w:fldChar w:fldCharType="end"/>
            </w:r>
          </w:hyperlink>
        </w:p>
        <w:p w14:paraId="7793040B" w14:textId="2A9235DE" w:rsidR="00182622" w:rsidRDefault="00182622">
          <w:pPr>
            <w:pStyle w:val="TOC2"/>
            <w:tabs>
              <w:tab w:val="left" w:pos="960"/>
              <w:tab w:val="right" w:leader="dot" w:pos="9062"/>
            </w:tabs>
            <w:rPr>
              <w:rFonts w:eastAsiaTheme="minorEastAsia"/>
              <w:noProof/>
              <w:sz w:val="24"/>
              <w:szCs w:val="24"/>
              <w:lang w:eastAsia="fr-FR"/>
            </w:rPr>
          </w:pPr>
          <w:hyperlink w:anchor="_Toc227686379" w:history="1">
            <w:r w:rsidRPr="00E43CF2">
              <w:rPr>
                <w:rStyle w:val="Hyperlink"/>
                <w:noProof/>
              </w:rPr>
              <w:t>VI.2.</w:t>
            </w:r>
            <w:r>
              <w:rPr>
                <w:rFonts w:eastAsiaTheme="minorEastAsia"/>
                <w:noProof/>
                <w:sz w:val="24"/>
                <w:szCs w:val="24"/>
                <w:lang w:eastAsia="fr-FR"/>
              </w:rPr>
              <w:tab/>
            </w:r>
            <w:r w:rsidRPr="00E43CF2">
              <w:rPr>
                <w:rStyle w:val="Hyperlink"/>
                <w:noProof/>
              </w:rPr>
              <w:t>Cadre réglementaire environnemental et social</w:t>
            </w:r>
            <w:r>
              <w:rPr>
                <w:noProof/>
                <w:webHidden/>
              </w:rPr>
              <w:tab/>
            </w:r>
            <w:r>
              <w:rPr>
                <w:noProof/>
                <w:webHidden/>
              </w:rPr>
              <w:fldChar w:fldCharType="begin"/>
            </w:r>
            <w:r>
              <w:rPr>
                <w:noProof/>
                <w:webHidden/>
              </w:rPr>
              <w:instrText xml:space="preserve"> PAGEREF _Toc227686379 \h </w:instrText>
            </w:r>
            <w:r>
              <w:rPr>
                <w:noProof/>
                <w:webHidden/>
              </w:rPr>
            </w:r>
            <w:r>
              <w:rPr>
                <w:noProof/>
                <w:webHidden/>
              </w:rPr>
              <w:fldChar w:fldCharType="separate"/>
            </w:r>
            <w:r w:rsidR="00B34DF3">
              <w:rPr>
                <w:noProof/>
                <w:webHidden/>
              </w:rPr>
              <w:t>55</w:t>
            </w:r>
            <w:r>
              <w:rPr>
                <w:noProof/>
                <w:webHidden/>
              </w:rPr>
              <w:fldChar w:fldCharType="end"/>
            </w:r>
          </w:hyperlink>
        </w:p>
        <w:p w14:paraId="5E0F22F4" w14:textId="370B4C17" w:rsidR="00182622" w:rsidRDefault="00182622">
          <w:pPr>
            <w:pStyle w:val="TOC2"/>
            <w:tabs>
              <w:tab w:val="left" w:pos="960"/>
              <w:tab w:val="right" w:leader="dot" w:pos="9062"/>
            </w:tabs>
            <w:rPr>
              <w:rFonts w:eastAsiaTheme="minorEastAsia"/>
              <w:noProof/>
              <w:sz w:val="24"/>
              <w:szCs w:val="24"/>
              <w:lang w:eastAsia="fr-FR"/>
            </w:rPr>
          </w:pPr>
          <w:hyperlink w:anchor="_Toc227686380" w:history="1">
            <w:r w:rsidRPr="00E43CF2">
              <w:rPr>
                <w:rStyle w:val="Hyperlink"/>
                <w:noProof/>
              </w:rPr>
              <w:t>VI.3.</w:t>
            </w:r>
            <w:r>
              <w:rPr>
                <w:rFonts w:eastAsiaTheme="minorEastAsia"/>
                <w:noProof/>
                <w:sz w:val="24"/>
                <w:szCs w:val="24"/>
                <w:lang w:eastAsia="fr-FR"/>
              </w:rPr>
              <w:tab/>
            </w:r>
            <w:r w:rsidRPr="00E43CF2">
              <w:rPr>
                <w:rStyle w:val="Hyperlink"/>
                <w:noProof/>
              </w:rPr>
              <w:t>Renforcement des capacités et développement des connaissances fondamentales</w:t>
            </w:r>
            <w:r>
              <w:rPr>
                <w:noProof/>
                <w:webHidden/>
              </w:rPr>
              <w:tab/>
            </w:r>
            <w:r>
              <w:rPr>
                <w:noProof/>
                <w:webHidden/>
              </w:rPr>
              <w:fldChar w:fldCharType="begin"/>
            </w:r>
            <w:r>
              <w:rPr>
                <w:noProof/>
                <w:webHidden/>
              </w:rPr>
              <w:instrText xml:space="preserve"> PAGEREF _Toc227686380 \h </w:instrText>
            </w:r>
            <w:r>
              <w:rPr>
                <w:noProof/>
                <w:webHidden/>
              </w:rPr>
            </w:r>
            <w:r>
              <w:rPr>
                <w:noProof/>
                <w:webHidden/>
              </w:rPr>
              <w:fldChar w:fldCharType="separate"/>
            </w:r>
            <w:r w:rsidR="00B34DF3">
              <w:rPr>
                <w:noProof/>
                <w:webHidden/>
              </w:rPr>
              <w:t>57</w:t>
            </w:r>
            <w:r>
              <w:rPr>
                <w:noProof/>
                <w:webHidden/>
              </w:rPr>
              <w:fldChar w:fldCharType="end"/>
            </w:r>
          </w:hyperlink>
        </w:p>
        <w:p w14:paraId="05BCDD36" w14:textId="1D4B62F6" w:rsidR="00182622" w:rsidRDefault="00182622">
          <w:pPr>
            <w:pStyle w:val="TOC2"/>
            <w:tabs>
              <w:tab w:val="left" w:pos="960"/>
              <w:tab w:val="right" w:leader="dot" w:pos="9062"/>
            </w:tabs>
            <w:rPr>
              <w:rFonts w:eastAsiaTheme="minorEastAsia"/>
              <w:noProof/>
              <w:sz w:val="24"/>
              <w:szCs w:val="24"/>
              <w:lang w:eastAsia="fr-FR"/>
            </w:rPr>
          </w:pPr>
          <w:hyperlink w:anchor="_Toc227686381" w:history="1">
            <w:r w:rsidRPr="00E43CF2">
              <w:rPr>
                <w:rStyle w:val="Hyperlink"/>
                <w:noProof/>
              </w:rPr>
              <w:t>VI.4.</w:t>
            </w:r>
            <w:r>
              <w:rPr>
                <w:rFonts w:eastAsiaTheme="minorEastAsia"/>
                <w:noProof/>
                <w:sz w:val="24"/>
                <w:szCs w:val="24"/>
                <w:lang w:eastAsia="fr-FR"/>
              </w:rPr>
              <w:tab/>
            </w:r>
            <w:r w:rsidRPr="00E43CF2">
              <w:rPr>
                <w:rStyle w:val="Hyperlink"/>
                <w:noProof/>
              </w:rPr>
              <w:t>Mécanisme de traitement des plaintes</w:t>
            </w:r>
            <w:r>
              <w:rPr>
                <w:noProof/>
                <w:webHidden/>
              </w:rPr>
              <w:tab/>
            </w:r>
            <w:r>
              <w:rPr>
                <w:noProof/>
                <w:webHidden/>
              </w:rPr>
              <w:fldChar w:fldCharType="begin"/>
            </w:r>
            <w:r>
              <w:rPr>
                <w:noProof/>
                <w:webHidden/>
              </w:rPr>
              <w:instrText xml:space="preserve"> PAGEREF _Toc227686381 \h </w:instrText>
            </w:r>
            <w:r>
              <w:rPr>
                <w:noProof/>
                <w:webHidden/>
              </w:rPr>
            </w:r>
            <w:r>
              <w:rPr>
                <w:noProof/>
                <w:webHidden/>
              </w:rPr>
              <w:fldChar w:fldCharType="separate"/>
            </w:r>
            <w:r w:rsidR="00B34DF3">
              <w:rPr>
                <w:noProof/>
                <w:webHidden/>
              </w:rPr>
              <w:t>59</w:t>
            </w:r>
            <w:r>
              <w:rPr>
                <w:noProof/>
                <w:webHidden/>
              </w:rPr>
              <w:fldChar w:fldCharType="end"/>
            </w:r>
          </w:hyperlink>
        </w:p>
        <w:p w14:paraId="397F09AE" w14:textId="1E65E324" w:rsidR="00182622" w:rsidRDefault="00182622">
          <w:pPr>
            <w:pStyle w:val="TOC2"/>
            <w:tabs>
              <w:tab w:val="left" w:pos="960"/>
              <w:tab w:val="right" w:leader="dot" w:pos="9062"/>
            </w:tabs>
            <w:rPr>
              <w:rFonts w:eastAsiaTheme="minorEastAsia"/>
              <w:noProof/>
              <w:sz w:val="24"/>
              <w:szCs w:val="24"/>
              <w:lang w:eastAsia="fr-FR"/>
            </w:rPr>
          </w:pPr>
          <w:hyperlink w:anchor="_Toc227686382" w:history="1">
            <w:r w:rsidRPr="00E43CF2">
              <w:rPr>
                <w:rStyle w:val="Hyperlink"/>
                <w:noProof/>
              </w:rPr>
              <w:t>VI.5.</w:t>
            </w:r>
            <w:r>
              <w:rPr>
                <w:rFonts w:eastAsiaTheme="minorEastAsia"/>
                <w:noProof/>
                <w:sz w:val="24"/>
                <w:szCs w:val="24"/>
                <w:lang w:eastAsia="fr-FR"/>
              </w:rPr>
              <w:tab/>
            </w:r>
            <w:r w:rsidRPr="00E43CF2">
              <w:rPr>
                <w:rStyle w:val="Hyperlink"/>
                <w:noProof/>
              </w:rPr>
              <w:t>Analyse comparative du système de l’Emprunteur et des principes fondamentaux de la Banque mondiale dans le cadre de la politique opérationnelle relative au PforR</w:t>
            </w:r>
            <w:r>
              <w:rPr>
                <w:noProof/>
                <w:webHidden/>
              </w:rPr>
              <w:tab/>
            </w:r>
            <w:r>
              <w:rPr>
                <w:noProof/>
                <w:webHidden/>
              </w:rPr>
              <w:fldChar w:fldCharType="begin"/>
            </w:r>
            <w:r>
              <w:rPr>
                <w:noProof/>
                <w:webHidden/>
              </w:rPr>
              <w:instrText xml:space="preserve"> PAGEREF _Toc227686382 \h </w:instrText>
            </w:r>
            <w:r>
              <w:rPr>
                <w:noProof/>
                <w:webHidden/>
              </w:rPr>
            </w:r>
            <w:r>
              <w:rPr>
                <w:noProof/>
                <w:webHidden/>
              </w:rPr>
              <w:fldChar w:fldCharType="separate"/>
            </w:r>
            <w:r w:rsidR="00B34DF3">
              <w:rPr>
                <w:noProof/>
                <w:webHidden/>
              </w:rPr>
              <w:t>60</w:t>
            </w:r>
            <w:r>
              <w:rPr>
                <w:noProof/>
                <w:webHidden/>
              </w:rPr>
              <w:fldChar w:fldCharType="end"/>
            </w:r>
          </w:hyperlink>
        </w:p>
        <w:p w14:paraId="59A3205E" w14:textId="16E8E915" w:rsidR="00182622" w:rsidRDefault="00182622">
          <w:pPr>
            <w:pStyle w:val="TOC1"/>
            <w:tabs>
              <w:tab w:val="left" w:pos="720"/>
              <w:tab w:val="right" w:leader="dot" w:pos="9062"/>
            </w:tabs>
            <w:rPr>
              <w:rFonts w:eastAsiaTheme="minorEastAsia"/>
              <w:noProof/>
              <w:sz w:val="24"/>
              <w:szCs w:val="24"/>
              <w:lang w:eastAsia="fr-FR"/>
            </w:rPr>
          </w:pPr>
          <w:hyperlink w:anchor="_Toc227686383" w:history="1">
            <w:r w:rsidRPr="00E43CF2">
              <w:rPr>
                <w:rStyle w:val="Hyperlink"/>
                <w:noProof/>
              </w:rPr>
              <w:t>VII.</w:t>
            </w:r>
            <w:r>
              <w:rPr>
                <w:rFonts w:eastAsiaTheme="minorEastAsia"/>
                <w:noProof/>
                <w:sz w:val="24"/>
                <w:szCs w:val="24"/>
                <w:lang w:eastAsia="fr-FR"/>
              </w:rPr>
              <w:tab/>
            </w:r>
            <w:r w:rsidRPr="00E43CF2">
              <w:rPr>
                <w:rStyle w:val="Hyperlink"/>
                <w:noProof/>
              </w:rPr>
              <w:t>RECOMMANDATIONS ET PLAN D’ACTION DU PROGRAMME</w:t>
            </w:r>
            <w:r>
              <w:rPr>
                <w:noProof/>
                <w:webHidden/>
              </w:rPr>
              <w:tab/>
            </w:r>
            <w:r>
              <w:rPr>
                <w:noProof/>
                <w:webHidden/>
              </w:rPr>
              <w:fldChar w:fldCharType="begin"/>
            </w:r>
            <w:r>
              <w:rPr>
                <w:noProof/>
                <w:webHidden/>
              </w:rPr>
              <w:instrText xml:space="preserve"> PAGEREF _Toc227686383 \h </w:instrText>
            </w:r>
            <w:r>
              <w:rPr>
                <w:noProof/>
                <w:webHidden/>
              </w:rPr>
            </w:r>
            <w:r>
              <w:rPr>
                <w:noProof/>
                <w:webHidden/>
              </w:rPr>
              <w:fldChar w:fldCharType="separate"/>
            </w:r>
            <w:r w:rsidR="00B34DF3">
              <w:rPr>
                <w:noProof/>
                <w:webHidden/>
              </w:rPr>
              <w:t>63</w:t>
            </w:r>
            <w:r>
              <w:rPr>
                <w:noProof/>
                <w:webHidden/>
              </w:rPr>
              <w:fldChar w:fldCharType="end"/>
            </w:r>
          </w:hyperlink>
        </w:p>
        <w:p w14:paraId="3834A712" w14:textId="4876C6F0" w:rsidR="00182622" w:rsidRDefault="00182622">
          <w:pPr>
            <w:rPr>
              <w:noProof/>
            </w:rPr>
          </w:pPr>
          <w:r>
            <w:rPr>
              <w:b/>
              <w:bCs/>
              <w:noProof/>
            </w:rPr>
            <w:fldChar w:fldCharType="end"/>
          </w:r>
        </w:p>
      </w:sdtContent>
    </w:sdt>
    <w:p w14:paraId="6B5D9455" w14:textId="6CA752EF" w:rsidR="00182622" w:rsidRDefault="00182622" w:rsidP="00182622">
      <w:pPr>
        <w:pStyle w:val="TOC1"/>
        <w:tabs>
          <w:tab w:val="right" w:leader="dot" w:pos="9062"/>
        </w:tabs>
        <w:rPr>
          <w:rFonts w:eastAsiaTheme="minorEastAsia"/>
          <w:noProof/>
          <w:sz w:val="24"/>
          <w:szCs w:val="24"/>
          <w:lang w:eastAsia="fr-FR"/>
        </w:rPr>
      </w:pPr>
    </w:p>
    <w:p w14:paraId="2E05CFB9" w14:textId="00106091" w:rsidR="003A7C09" w:rsidRPr="00D401FA" w:rsidRDefault="00182622" w:rsidP="00216CAF">
      <w:pPr>
        <w:jc w:val="both"/>
        <w:rPr>
          <w:rFonts w:ascii="Aptos" w:hAnsi="Aptos"/>
        </w:rPr>
      </w:pPr>
      <w:r>
        <w:rPr>
          <w:rFonts w:ascii="Aptos" w:hAnsi="Aptos"/>
        </w:rPr>
        <w:fldChar w:fldCharType="end"/>
      </w:r>
      <w:r w:rsidR="003A7C09" w:rsidRPr="00D401FA">
        <w:rPr>
          <w:rFonts w:ascii="Aptos" w:hAnsi="Aptos"/>
        </w:rPr>
        <w:br w:type="page"/>
      </w:r>
    </w:p>
    <w:p w14:paraId="77B3717C" w14:textId="5CFA3C9D" w:rsidR="00E55767" w:rsidRPr="00D401FA" w:rsidRDefault="006D56EE" w:rsidP="00182622">
      <w:pPr>
        <w:pStyle w:val="Heading1"/>
        <w:numPr>
          <w:ilvl w:val="0"/>
          <w:numId w:val="0"/>
        </w:numPr>
        <w:shd w:val="clear" w:color="auto" w:fill="auto"/>
      </w:pPr>
      <w:bookmarkStart w:id="0" w:name="_Toc227686264"/>
      <w:bookmarkStart w:id="1" w:name="_Toc227686294"/>
      <w:bookmarkStart w:id="2" w:name="_Toc227686340"/>
      <w:r w:rsidRPr="00D401FA">
        <w:lastRenderedPageBreak/>
        <w:t>Acronymes et abréviations</w:t>
      </w:r>
      <w:bookmarkEnd w:id="0"/>
      <w:bookmarkEnd w:id="1"/>
      <w:bookmarkEnd w:id="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5940"/>
      </w:tblGrid>
      <w:tr w:rsidR="00367AF1" w:rsidRPr="00D401FA" w14:paraId="78B021BB" w14:textId="77777777" w:rsidTr="00D401FA">
        <w:trPr>
          <w:tblCellSpacing w:w="15" w:type="dxa"/>
        </w:trPr>
        <w:tc>
          <w:tcPr>
            <w:tcW w:w="1231" w:type="dxa"/>
            <w:vAlign w:val="center"/>
            <w:hideMark/>
          </w:tcPr>
          <w:p w14:paraId="44EAEAB2" w14:textId="77777777" w:rsidR="006D56EE" w:rsidRPr="00D401FA" w:rsidRDefault="006D56EE" w:rsidP="00D401FA">
            <w:pPr>
              <w:spacing w:after="0" w:line="240" w:lineRule="auto"/>
              <w:jc w:val="both"/>
              <w:rPr>
                <w:rFonts w:ascii="Aptos" w:hAnsi="Aptos"/>
              </w:rPr>
            </w:pPr>
            <w:r w:rsidRPr="00D401FA">
              <w:rPr>
                <w:rFonts w:ascii="Aptos" w:hAnsi="Aptos"/>
              </w:rPr>
              <w:t>AFD</w:t>
            </w:r>
          </w:p>
        </w:tc>
        <w:tc>
          <w:tcPr>
            <w:tcW w:w="0" w:type="auto"/>
            <w:vAlign w:val="center"/>
            <w:hideMark/>
          </w:tcPr>
          <w:p w14:paraId="033A8FED" w14:textId="77777777" w:rsidR="006D56EE" w:rsidRPr="00D401FA" w:rsidRDefault="006D56EE" w:rsidP="00D401FA">
            <w:pPr>
              <w:spacing w:after="0" w:line="240" w:lineRule="auto"/>
              <w:jc w:val="both"/>
              <w:rPr>
                <w:rFonts w:ascii="Aptos" w:hAnsi="Aptos"/>
              </w:rPr>
            </w:pPr>
            <w:r w:rsidRPr="00D401FA">
              <w:rPr>
                <w:rFonts w:ascii="Aptos" w:hAnsi="Aptos"/>
              </w:rPr>
              <w:t>Agence française de développement</w:t>
            </w:r>
          </w:p>
        </w:tc>
      </w:tr>
      <w:tr w:rsidR="00367AF1" w:rsidRPr="00D401FA" w14:paraId="4C5248B6" w14:textId="77777777" w:rsidTr="00D401FA">
        <w:trPr>
          <w:tblCellSpacing w:w="15" w:type="dxa"/>
        </w:trPr>
        <w:tc>
          <w:tcPr>
            <w:tcW w:w="1231" w:type="dxa"/>
            <w:vAlign w:val="center"/>
            <w:hideMark/>
          </w:tcPr>
          <w:p w14:paraId="180AEA57" w14:textId="77777777" w:rsidR="006D56EE" w:rsidRPr="00D401FA" w:rsidRDefault="006D56EE" w:rsidP="00D401FA">
            <w:pPr>
              <w:spacing w:after="0" w:line="240" w:lineRule="auto"/>
              <w:jc w:val="both"/>
              <w:rPr>
                <w:rFonts w:ascii="Aptos" w:hAnsi="Aptos"/>
              </w:rPr>
            </w:pPr>
            <w:r w:rsidRPr="00D401FA">
              <w:rPr>
                <w:rFonts w:ascii="Aptos" w:hAnsi="Aptos"/>
              </w:rPr>
              <w:t>CCDR</w:t>
            </w:r>
          </w:p>
        </w:tc>
        <w:tc>
          <w:tcPr>
            <w:tcW w:w="0" w:type="auto"/>
            <w:vAlign w:val="center"/>
            <w:hideMark/>
          </w:tcPr>
          <w:p w14:paraId="75CCC945" w14:textId="77777777" w:rsidR="006D56EE" w:rsidRPr="00D401FA" w:rsidRDefault="006D56EE" w:rsidP="00D401FA">
            <w:pPr>
              <w:spacing w:after="0" w:line="240" w:lineRule="auto"/>
              <w:jc w:val="both"/>
              <w:rPr>
                <w:rFonts w:ascii="Aptos" w:hAnsi="Aptos"/>
              </w:rPr>
            </w:pPr>
            <w:r w:rsidRPr="00D401FA">
              <w:rPr>
                <w:rFonts w:ascii="Aptos" w:hAnsi="Aptos"/>
              </w:rPr>
              <w:t>Rapport national sur le climat et le développement</w:t>
            </w:r>
          </w:p>
        </w:tc>
      </w:tr>
      <w:tr w:rsidR="00367AF1" w:rsidRPr="00D401FA" w14:paraId="747CFFCE" w14:textId="77777777" w:rsidTr="00D401FA">
        <w:trPr>
          <w:tblCellSpacing w:w="15" w:type="dxa"/>
        </w:trPr>
        <w:tc>
          <w:tcPr>
            <w:tcW w:w="1231" w:type="dxa"/>
            <w:vAlign w:val="center"/>
            <w:hideMark/>
          </w:tcPr>
          <w:p w14:paraId="0BBC56A5" w14:textId="77777777" w:rsidR="006D56EE" w:rsidRPr="00D401FA" w:rsidRDefault="006D56EE" w:rsidP="00D401FA">
            <w:pPr>
              <w:spacing w:after="0" w:line="240" w:lineRule="auto"/>
              <w:jc w:val="both"/>
              <w:rPr>
                <w:rFonts w:ascii="Aptos" w:hAnsi="Aptos"/>
              </w:rPr>
            </w:pPr>
            <w:r w:rsidRPr="00D401FA">
              <w:rPr>
                <w:rFonts w:ascii="Aptos" w:hAnsi="Aptos"/>
              </w:rPr>
              <w:t>COGES</w:t>
            </w:r>
          </w:p>
        </w:tc>
        <w:tc>
          <w:tcPr>
            <w:tcW w:w="0" w:type="auto"/>
            <w:vAlign w:val="center"/>
            <w:hideMark/>
          </w:tcPr>
          <w:p w14:paraId="5354BA54" w14:textId="77777777" w:rsidR="006D56EE" w:rsidRPr="00D401FA" w:rsidRDefault="006D56EE" w:rsidP="00D401FA">
            <w:pPr>
              <w:spacing w:after="0" w:line="240" w:lineRule="auto"/>
              <w:jc w:val="both"/>
              <w:rPr>
                <w:rFonts w:ascii="Aptos" w:hAnsi="Aptos"/>
              </w:rPr>
            </w:pPr>
            <w:r w:rsidRPr="00D401FA">
              <w:rPr>
                <w:rFonts w:ascii="Aptos" w:hAnsi="Aptos"/>
              </w:rPr>
              <w:t>Comité de gestion scolaire</w:t>
            </w:r>
          </w:p>
        </w:tc>
      </w:tr>
      <w:tr w:rsidR="00367AF1" w:rsidRPr="00D401FA" w14:paraId="0B53B890" w14:textId="77777777" w:rsidTr="00D401FA">
        <w:trPr>
          <w:tblCellSpacing w:w="15" w:type="dxa"/>
        </w:trPr>
        <w:tc>
          <w:tcPr>
            <w:tcW w:w="1231" w:type="dxa"/>
            <w:vAlign w:val="center"/>
            <w:hideMark/>
          </w:tcPr>
          <w:p w14:paraId="7A6E7320" w14:textId="77777777" w:rsidR="006D56EE" w:rsidRPr="00D401FA" w:rsidRDefault="006D56EE" w:rsidP="00D401FA">
            <w:pPr>
              <w:spacing w:after="0" w:line="240" w:lineRule="auto"/>
              <w:jc w:val="both"/>
              <w:rPr>
                <w:rFonts w:ascii="Aptos" w:hAnsi="Aptos"/>
              </w:rPr>
            </w:pPr>
            <w:r w:rsidRPr="00D401FA">
              <w:rPr>
                <w:rFonts w:ascii="Aptos" w:hAnsi="Aptos"/>
              </w:rPr>
              <w:t>CPP</w:t>
            </w:r>
          </w:p>
        </w:tc>
        <w:tc>
          <w:tcPr>
            <w:tcW w:w="0" w:type="auto"/>
            <w:vAlign w:val="center"/>
            <w:hideMark/>
          </w:tcPr>
          <w:p w14:paraId="7A43850A" w14:textId="77777777" w:rsidR="006D56EE" w:rsidRPr="00D401FA" w:rsidRDefault="006D56EE" w:rsidP="00D401FA">
            <w:pPr>
              <w:spacing w:after="0" w:line="240" w:lineRule="auto"/>
              <w:jc w:val="both"/>
              <w:rPr>
                <w:rFonts w:ascii="Aptos" w:hAnsi="Aptos"/>
              </w:rPr>
            </w:pPr>
            <w:r w:rsidRPr="00D401FA">
              <w:rPr>
                <w:rFonts w:ascii="Aptos" w:hAnsi="Aptos"/>
              </w:rPr>
              <w:t>Cadre de partenariat pays</w:t>
            </w:r>
          </w:p>
        </w:tc>
      </w:tr>
      <w:tr w:rsidR="00367AF1" w:rsidRPr="00D401FA" w14:paraId="740A67F9" w14:textId="77777777" w:rsidTr="00D401FA">
        <w:trPr>
          <w:tblCellSpacing w:w="15" w:type="dxa"/>
        </w:trPr>
        <w:tc>
          <w:tcPr>
            <w:tcW w:w="1231" w:type="dxa"/>
            <w:vAlign w:val="center"/>
            <w:hideMark/>
          </w:tcPr>
          <w:p w14:paraId="25DC1D64" w14:textId="77777777" w:rsidR="006D56EE" w:rsidRPr="00D401FA" w:rsidRDefault="006D56EE" w:rsidP="00D401FA">
            <w:pPr>
              <w:spacing w:after="0" w:line="240" w:lineRule="auto"/>
              <w:jc w:val="both"/>
              <w:rPr>
                <w:rFonts w:ascii="Aptos" w:hAnsi="Aptos"/>
              </w:rPr>
            </w:pPr>
            <w:r w:rsidRPr="00D401FA">
              <w:rPr>
                <w:rFonts w:ascii="Aptos" w:hAnsi="Aptos"/>
              </w:rPr>
              <w:t>DAF</w:t>
            </w:r>
          </w:p>
        </w:tc>
        <w:tc>
          <w:tcPr>
            <w:tcW w:w="0" w:type="auto"/>
            <w:vAlign w:val="center"/>
            <w:hideMark/>
          </w:tcPr>
          <w:p w14:paraId="08605E32" w14:textId="77777777" w:rsidR="006D56EE" w:rsidRPr="00D401FA" w:rsidRDefault="006D56EE" w:rsidP="00D401FA">
            <w:pPr>
              <w:spacing w:after="0" w:line="240" w:lineRule="auto"/>
              <w:jc w:val="both"/>
              <w:rPr>
                <w:rFonts w:ascii="Aptos" w:hAnsi="Aptos"/>
              </w:rPr>
            </w:pPr>
            <w:r w:rsidRPr="00D401FA">
              <w:rPr>
                <w:rFonts w:ascii="Aptos" w:hAnsi="Aptos"/>
              </w:rPr>
              <w:t>Direction des Affaires Financières</w:t>
            </w:r>
          </w:p>
        </w:tc>
      </w:tr>
      <w:tr w:rsidR="00367AF1" w:rsidRPr="00D401FA" w14:paraId="6A015E01" w14:textId="77777777" w:rsidTr="00D401FA">
        <w:trPr>
          <w:tblCellSpacing w:w="15" w:type="dxa"/>
        </w:trPr>
        <w:tc>
          <w:tcPr>
            <w:tcW w:w="1231" w:type="dxa"/>
            <w:vAlign w:val="center"/>
            <w:hideMark/>
          </w:tcPr>
          <w:p w14:paraId="4E43A40E" w14:textId="77777777" w:rsidR="006D56EE" w:rsidRPr="00D401FA" w:rsidRDefault="006D56EE" w:rsidP="00D401FA">
            <w:pPr>
              <w:spacing w:after="0" w:line="240" w:lineRule="auto"/>
              <w:jc w:val="both"/>
              <w:rPr>
                <w:rFonts w:ascii="Aptos" w:hAnsi="Aptos"/>
              </w:rPr>
            </w:pPr>
            <w:r w:rsidRPr="00D401FA">
              <w:rPr>
                <w:rFonts w:ascii="Aptos" w:hAnsi="Aptos"/>
              </w:rPr>
              <w:t>DGB</w:t>
            </w:r>
          </w:p>
        </w:tc>
        <w:tc>
          <w:tcPr>
            <w:tcW w:w="0" w:type="auto"/>
            <w:vAlign w:val="center"/>
            <w:hideMark/>
          </w:tcPr>
          <w:p w14:paraId="13F99CCF" w14:textId="77777777" w:rsidR="006D56EE" w:rsidRPr="00D401FA" w:rsidRDefault="006D56EE" w:rsidP="00D401FA">
            <w:pPr>
              <w:spacing w:after="0" w:line="240" w:lineRule="auto"/>
              <w:jc w:val="both"/>
              <w:rPr>
                <w:rFonts w:ascii="Aptos" w:hAnsi="Aptos"/>
              </w:rPr>
            </w:pPr>
            <w:r w:rsidRPr="00D401FA">
              <w:rPr>
                <w:rFonts w:ascii="Aptos" w:hAnsi="Aptos"/>
              </w:rPr>
              <w:t>Direction Générale du Budget</w:t>
            </w:r>
          </w:p>
        </w:tc>
      </w:tr>
      <w:tr w:rsidR="00367AF1" w:rsidRPr="00D401FA" w14:paraId="6FEA78EE" w14:textId="77777777" w:rsidTr="00D401FA">
        <w:trPr>
          <w:tblCellSpacing w:w="15" w:type="dxa"/>
        </w:trPr>
        <w:tc>
          <w:tcPr>
            <w:tcW w:w="1231" w:type="dxa"/>
            <w:vAlign w:val="center"/>
            <w:hideMark/>
          </w:tcPr>
          <w:p w14:paraId="51803E07" w14:textId="77777777" w:rsidR="006D56EE" w:rsidRPr="00D401FA" w:rsidRDefault="006D56EE" w:rsidP="00D401FA">
            <w:pPr>
              <w:spacing w:after="0" w:line="240" w:lineRule="auto"/>
              <w:jc w:val="both"/>
              <w:rPr>
                <w:rFonts w:ascii="Aptos" w:hAnsi="Aptos"/>
              </w:rPr>
            </w:pPr>
            <w:r w:rsidRPr="00D401FA">
              <w:rPr>
                <w:rFonts w:ascii="Aptos" w:hAnsi="Aptos"/>
              </w:rPr>
              <w:t>ILD</w:t>
            </w:r>
          </w:p>
        </w:tc>
        <w:tc>
          <w:tcPr>
            <w:tcW w:w="0" w:type="auto"/>
            <w:vAlign w:val="center"/>
            <w:hideMark/>
          </w:tcPr>
          <w:p w14:paraId="3FD88170" w14:textId="77777777" w:rsidR="006D56EE" w:rsidRPr="00D401FA" w:rsidRDefault="006D56EE" w:rsidP="00D401FA">
            <w:pPr>
              <w:spacing w:after="0" w:line="240" w:lineRule="auto"/>
              <w:jc w:val="both"/>
              <w:rPr>
                <w:rFonts w:ascii="Aptos" w:hAnsi="Aptos"/>
              </w:rPr>
            </w:pPr>
            <w:r w:rsidRPr="00D401FA">
              <w:rPr>
                <w:rFonts w:ascii="Aptos" w:hAnsi="Aptos"/>
              </w:rPr>
              <w:t>Indicateur lié aux décaissements</w:t>
            </w:r>
          </w:p>
        </w:tc>
      </w:tr>
      <w:tr w:rsidR="00367AF1" w:rsidRPr="00D401FA" w14:paraId="07725F23" w14:textId="77777777" w:rsidTr="00D401FA">
        <w:trPr>
          <w:tblCellSpacing w:w="15" w:type="dxa"/>
        </w:trPr>
        <w:tc>
          <w:tcPr>
            <w:tcW w:w="1231" w:type="dxa"/>
            <w:vAlign w:val="center"/>
            <w:hideMark/>
          </w:tcPr>
          <w:p w14:paraId="112E3B19" w14:textId="77777777" w:rsidR="006D56EE" w:rsidRPr="00D401FA" w:rsidRDefault="006D56EE" w:rsidP="00D401FA">
            <w:pPr>
              <w:spacing w:after="0" w:line="240" w:lineRule="auto"/>
              <w:jc w:val="both"/>
              <w:rPr>
                <w:rFonts w:ascii="Aptos" w:hAnsi="Aptos"/>
              </w:rPr>
            </w:pPr>
            <w:r w:rsidRPr="00D401FA">
              <w:rPr>
                <w:rFonts w:ascii="Aptos" w:hAnsi="Aptos"/>
              </w:rPr>
              <w:t>RLD</w:t>
            </w:r>
          </w:p>
        </w:tc>
        <w:tc>
          <w:tcPr>
            <w:tcW w:w="0" w:type="auto"/>
            <w:vAlign w:val="center"/>
            <w:hideMark/>
          </w:tcPr>
          <w:p w14:paraId="359DF2A4" w14:textId="77777777" w:rsidR="006D56EE" w:rsidRPr="00D401FA" w:rsidRDefault="006D56EE" w:rsidP="00D401FA">
            <w:pPr>
              <w:spacing w:after="0" w:line="240" w:lineRule="auto"/>
              <w:jc w:val="both"/>
              <w:rPr>
                <w:rFonts w:ascii="Aptos" w:hAnsi="Aptos"/>
              </w:rPr>
            </w:pPr>
            <w:r w:rsidRPr="00D401FA">
              <w:rPr>
                <w:rFonts w:ascii="Aptos" w:hAnsi="Aptos"/>
              </w:rPr>
              <w:t>Résultat lié au décaissement</w:t>
            </w:r>
          </w:p>
        </w:tc>
      </w:tr>
      <w:tr w:rsidR="00367AF1" w:rsidRPr="00D401FA" w14:paraId="3499CD93" w14:textId="77777777" w:rsidTr="00D401FA">
        <w:trPr>
          <w:tblCellSpacing w:w="15" w:type="dxa"/>
        </w:trPr>
        <w:tc>
          <w:tcPr>
            <w:tcW w:w="1231" w:type="dxa"/>
            <w:vAlign w:val="center"/>
            <w:hideMark/>
          </w:tcPr>
          <w:p w14:paraId="49B88839" w14:textId="77777777" w:rsidR="006D56EE" w:rsidRPr="00D401FA" w:rsidRDefault="006D56EE" w:rsidP="00D401FA">
            <w:pPr>
              <w:spacing w:after="0" w:line="240" w:lineRule="auto"/>
              <w:jc w:val="both"/>
              <w:rPr>
                <w:rFonts w:ascii="Aptos" w:hAnsi="Aptos"/>
              </w:rPr>
            </w:pPr>
            <w:r w:rsidRPr="00D401FA">
              <w:rPr>
                <w:rFonts w:ascii="Aptos" w:hAnsi="Aptos"/>
              </w:rPr>
              <w:t>DPEF</w:t>
            </w:r>
          </w:p>
        </w:tc>
        <w:tc>
          <w:tcPr>
            <w:tcW w:w="0" w:type="auto"/>
            <w:vAlign w:val="center"/>
            <w:hideMark/>
          </w:tcPr>
          <w:p w14:paraId="474EC9A0" w14:textId="77777777" w:rsidR="006D56EE" w:rsidRPr="00D401FA" w:rsidRDefault="006D56EE" w:rsidP="00D401FA">
            <w:pPr>
              <w:spacing w:after="0" w:line="240" w:lineRule="auto"/>
              <w:jc w:val="both"/>
              <w:rPr>
                <w:rFonts w:ascii="Aptos" w:hAnsi="Aptos"/>
              </w:rPr>
            </w:pPr>
            <w:r w:rsidRPr="00D401FA">
              <w:rPr>
                <w:rFonts w:ascii="Aptos" w:hAnsi="Aptos"/>
              </w:rPr>
              <w:t>Direction des Projets Éducation Formation</w:t>
            </w:r>
          </w:p>
        </w:tc>
      </w:tr>
      <w:tr w:rsidR="00367AF1" w:rsidRPr="00D401FA" w14:paraId="00F4D19C" w14:textId="77777777" w:rsidTr="00D401FA">
        <w:trPr>
          <w:tblCellSpacing w:w="15" w:type="dxa"/>
        </w:trPr>
        <w:tc>
          <w:tcPr>
            <w:tcW w:w="1231" w:type="dxa"/>
            <w:vAlign w:val="center"/>
            <w:hideMark/>
          </w:tcPr>
          <w:p w14:paraId="0B706110" w14:textId="77777777" w:rsidR="006D56EE" w:rsidRPr="00D401FA" w:rsidRDefault="006D56EE" w:rsidP="00D401FA">
            <w:pPr>
              <w:spacing w:after="0" w:line="240" w:lineRule="auto"/>
              <w:jc w:val="both"/>
              <w:rPr>
                <w:rFonts w:ascii="Aptos" w:hAnsi="Aptos"/>
              </w:rPr>
            </w:pPr>
            <w:r w:rsidRPr="00D401FA">
              <w:rPr>
                <w:rFonts w:ascii="Aptos" w:hAnsi="Aptos"/>
              </w:rPr>
              <w:t>DPF</w:t>
            </w:r>
          </w:p>
        </w:tc>
        <w:tc>
          <w:tcPr>
            <w:tcW w:w="0" w:type="auto"/>
            <w:vAlign w:val="center"/>
            <w:hideMark/>
          </w:tcPr>
          <w:p w14:paraId="7148626D" w14:textId="77777777" w:rsidR="006D56EE" w:rsidRPr="00D401FA" w:rsidRDefault="006D56EE" w:rsidP="00D401FA">
            <w:pPr>
              <w:spacing w:after="0" w:line="240" w:lineRule="auto"/>
              <w:jc w:val="both"/>
              <w:rPr>
                <w:rFonts w:ascii="Aptos" w:hAnsi="Aptos"/>
              </w:rPr>
            </w:pPr>
            <w:r w:rsidRPr="00D401FA">
              <w:rPr>
                <w:rFonts w:ascii="Aptos" w:hAnsi="Aptos"/>
              </w:rPr>
              <w:t>Financement des politiques de développement</w:t>
            </w:r>
          </w:p>
        </w:tc>
      </w:tr>
      <w:tr w:rsidR="00367AF1" w:rsidRPr="00D401FA" w14:paraId="4722DC5A" w14:textId="77777777" w:rsidTr="00D401FA">
        <w:trPr>
          <w:tblCellSpacing w:w="15" w:type="dxa"/>
        </w:trPr>
        <w:tc>
          <w:tcPr>
            <w:tcW w:w="1231" w:type="dxa"/>
            <w:vAlign w:val="center"/>
            <w:hideMark/>
          </w:tcPr>
          <w:p w14:paraId="4B19F143" w14:textId="77777777" w:rsidR="006D56EE" w:rsidRPr="00D401FA" w:rsidRDefault="006D56EE" w:rsidP="00D401FA">
            <w:pPr>
              <w:spacing w:after="0" w:line="240" w:lineRule="auto"/>
              <w:jc w:val="both"/>
              <w:rPr>
                <w:rFonts w:ascii="Aptos" w:hAnsi="Aptos"/>
              </w:rPr>
            </w:pPr>
            <w:r w:rsidRPr="00D401FA">
              <w:rPr>
                <w:rFonts w:ascii="Aptos" w:hAnsi="Aptos"/>
              </w:rPr>
              <w:t>DPO</w:t>
            </w:r>
          </w:p>
        </w:tc>
        <w:tc>
          <w:tcPr>
            <w:tcW w:w="0" w:type="auto"/>
            <w:vAlign w:val="center"/>
            <w:hideMark/>
          </w:tcPr>
          <w:p w14:paraId="3D497BE5" w14:textId="77777777" w:rsidR="006D56EE" w:rsidRPr="00D401FA" w:rsidRDefault="006D56EE" w:rsidP="00D401FA">
            <w:pPr>
              <w:spacing w:after="0" w:line="240" w:lineRule="auto"/>
              <w:jc w:val="both"/>
              <w:rPr>
                <w:rFonts w:ascii="Aptos" w:hAnsi="Aptos"/>
              </w:rPr>
            </w:pPr>
            <w:r w:rsidRPr="00D401FA">
              <w:rPr>
                <w:rFonts w:ascii="Aptos" w:hAnsi="Aptos"/>
              </w:rPr>
              <w:t>Opération de politique de développement</w:t>
            </w:r>
          </w:p>
        </w:tc>
      </w:tr>
      <w:tr w:rsidR="00367AF1" w:rsidRPr="00D401FA" w14:paraId="6F07740A" w14:textId="77777777" w:rsidTr="00D401FA">
        <w:trPr>
          <w:tblCellSpacing w:w="15" w:type="dxa"/>
        </w:trPr>
        <w:tc>
          <w:tcPr>
            <w:tcW w:w="1231" w:type="dxa"/>
            <w:vAlign w:val="center"/>
            <w:hideMark/>
          </w:tcPr>
          <w:p w14:paraId="1F6C5292" w14:textId="77777777" w:rsidR="006D56EE" w:rsidRPr="00D401FA" w:rsidRDefault="006D56EE" w:rsidP="00D401FA">
            <w:pPr>
              <w:spacing w:after="0" w:line="240" w:lineRule="auto"/>
              <w:jc w:val="both"/>
              <w:rPr>
                <w:rFonts w:ascii="Aptos" w:hAnsi="Aptos"/>
              </w:rPr>
            </w:pPr>
            <w:r w:rsidRPr="00D401FA">
              <w:rPr>
                <w:rFonts w:ascii="Aptos" w:hAnsi="Aptos"/>
              </w:rPr>
              <w:t>E&amp;S</w:t>
            </w:r>
          </w:p>
        </w:tc>
        <w:tc>
          <w:tcPr>
            <w:tcW w:w="0" w:type="auto"/>
            <w:vAlign w:val="center"/>
            <w:hideMark/>
          </w:tcPr>
          <w:p w14:paraId="19A877C5" w14:textId="77777777" w:rsidR="006D56EE" w:rsidRPr="00D401FA" w:rsidRDefault="006D56EE" w:rsidP="00D401FA">
            <w:pPr>
              <w:spacing w:after="0" w:line="240" w:lineRule="auto"/>
              <w:jc w:val="both"/>
              <w:rPr>
                <w:rFonts w:ascii="Aptos" w:hAnsi="Aptos"/>
              </w:rPr>
            </w:pPr>
            <w:r w:rsidRPr="00D401FA">
              <w:rPr>
                <w:rFonts w:ascii="Aptos" w:hAnsi="Aptos"/>
              </w:rPr>
              <w:t>Environnement et social</w:t>
            </w:r>
          </w:p>
        </w:tc>
      </w:tr>
      <w:tr w:rsidR="00367AF1" w:rsidRPr="00D401FA" w14:paraId="7D11D78E" w14:textId="77777777" w:rsidTr="00D401FA">
        <w:trPr>
          <w:tblCellSpacing w:w="15" w:type="dxa"/>
        </w:trPr>
        <w:tc>
          <w:tcPr>
            <w:tcW w:w="1231" w:type="dxa"/>
            <w:vAlign w:val="center"/>
            <w:hideMark/>
          </w:tcPr>
          <w:p w14:paraId="0BFB9BAC" w14:textId="77777777" w:rsidR="006D56EE" w:rsidRPr="00D401FA" w:rsidRDefault="006D56EE" w:rsidP="00D401FA">
            <w:pPr>
              <w:spacing w:after="0" w:line="240" w:lineRule="auto"/>
              <w:jc w:val="both"/>
              <w:rPr>
                <w:rFonts w:ascii="Aptos" w:hAnsi="Aptos"/>
              </w:rPr>
            </w:pPr>
            <w:r w:rsidRPr="00D401FA">
              <w:rPr>
                <w:rFonts w:ascii="Aptos" w:hAnsi="Aptos"/>
              </w:rPr>
              <w:t>EPE</w:t>
            </w:r>
          </w:p>
        </w:tc>
        <w:tc>
          <w:tcPr>
            <w:tcW w:w="0" w:type="auto"/>
            <w:vAlign w:val="center"/>
            <w:hideMark/>
          </w:tcPr>
          <w:p w14:paraId="4E8FC8A9" w14:textId="77777777" w:rsidR="006D56EE" w:rsidRPr="00D401FA" w:rsidRDefault="006D56EE" w:rsidP="00D401FA">
            <w:pPr>
              <w:spacing w:after="0" w:line="240" w:lineRule="auto"/>
              <w:jc w:val="both"/>
              <w:rPr>
                <w:rFonts w:ascii="Aptos" w:hAnsi="Aptos"/>
              </w:rPr>
            </w:pPr>
            <w:r w:rsidRPr="00D401FA">
              <w:rPr>
                <w:rFonts w:ascii="Aptos" w:hAnsi="Aptos"/>
              </w:rPr>
              <w:t>Éducation de la petite enfance</w:t>
            </w:r>
          </w:p>
        </w:tc>
      </w:tr>
      <w:tr w:rsidR="00367AF1" w:rsidRPr="00D401FA" w14:paraId="2CD1DBEE" w14:textId="77777777" w:rsidTr="00D401FA">
        <w:trPr>
          <w:tblCellSpacing w:w="15" w:type="dxa"/>
        </w:trPr>
        <w:tc>
          <w:tcPr>
            <w:tcW w:w="1231" w:type="dxa"/>
            <w:vAlign w:val="center"/>
            <w:hideMark/>
          </w:tcPr>
          <w:p w14:paraId="30874C76" w14:textId="77777777" w:rsidR="006D56EE" w:rsidRPr="00D401FA" w:rsidRDefault="006D56EE" w:rsidP="00D401FA">
            <w:pPr>
              <w:spacing w:after="0" w:line="240" w:lineRule="auto"/>
              <w:jc w:val="both"/>
              <w:rPr>
                <w:rFonts w:ascii="Aptos" w:hAnsi="Aptos"/>
              </w:rPr>
            </w:pPr>
            <w:r w:rsidRPr="00D401FA">
              <w:rPr>
                <w:rFonts w:ascii="Aptos" w:hAnsi="Aptos"/>
              </w:rPr>
              <w:t>SIGE</w:t>
            </w:r>
          </w:p>
        </w:tc>
        <w:tc>
          <w:tcPr>
            <w:tcW w:w="0" w:type="auto"/>
            <w:vAlign w:val="center"/>
            <w:hideMark/>
          </w:tcPr>
          <w:p w14:paraId="518D17AB" w14:textId="77777777" w:rsidR="006D56EE" w:rsidRPr="00D401FA" w:rsidRDefault="006D56EE" w:rsidP="00D401FA">
            <w:pPr>
              <w:spacing w:after="0" w:line="240" w:lineRule="auto"/>
              <w:jc w:val="both"/>
              <w:rPr>
                <w:rFonts w:ascii="Aptos" w:hAnsi="Aptos"/>
              </w:rPr>
            </w:pPr>
            <w:r w:rsidRPr="00D401FA">
              <w:rPr>
                <w:rFonts w:ascii="Aptos" w:hAnsi="Aptos"/>
              </w:rPr>
              <w:t>Système d’information sur la gestion de l’éducation</w:t>
            </w:r>
          </w:p>
        </w:tc>
      </w:tr>
      <w:tr w:rsidR="00367AF1" w:rsidRPr="00D401FA" w14:paraId="6621B743" w14:textId="77777777" w:rsidTr="00D401FA">
        <w:trPr>
          <w:tblCellSpacing w:w="15" w:type="dxa"/>
        </w:trPr>
        <w:tc>
          <w:tcPr>
            <w:tcW w:w="1231" w:type="dxa"/>
            <w:vAlign w:val="center"/>
            <w:hideMark/>
          </w:tcPr>
          <w:p w14:paraId="09EF0704" w14:textId="77777777" w:rsidR="006D56EE" w:rsidRPr="00D401FA" w:rsidRDefault="006D56EE" w:rsidP="00D401FA">
            <w:pPr>
              <w:spacing w:after="0" w:line="240" w:lineRule="auto"/>
              <w:jc w:val="both"/>
              <w:rPr>
                <w:rFonts w:ascii="Aptos" w:hAnsi="Aptos"/>
              </w:rPr>
            </w:pPr>
            <w:r w:rsidRPr="00D401FA">
              <w:rPr>
                <w:rFonts w:ascii="Aptos" w:hAnsi="Aptos"/>
              </w:rPr>
              <w:t>ENI</w:t>
            </w:r>
          </w:p>
        </w:tc>
        <w:tc>
          <w:tcPr>
            <w:tcW w:w="0" w:type="auto"/>
            <w:vAlign w:val="center"/>
            <w:hideMark/>
          </w:tcPr>
          <w:p w14:paraId="31ECD7DB" w14:textId="77777777" w:rsidR="006D56EE" w:rsidRPr="00D401FA" w:rsidRDefault="006D56EE" w:rsidP="00D401FA">
            <w:pPr>
              <w:spacing w:after="0" w:line="240" w:lineRule="auto"/>
              <w:jc w:val="both"/>
              <w:rPr>
                <w:rFonts w:ascii="Aptos" w:hAnsi="Aptos"/>
              </w:rPr>
            </w:pPr>
            <w:r w:rsidRPr="00D401FA">
              <w:rPr>
                <w:rFonts w:ascii="Aptos" w:hAnsi="Aptos"/>
              </w:rPr>
              <w:t>École Normale des Instituteurs</w:t>
            </w:r>
          </w:p>
        </w:tc>
      </w:tr>
      <w:tr w:rsidR="00367AF1" w:rsidRPr="00D401FA" w14:paraId="6BB082A2" w14:textId="77777777" w:rsidTr="00D401FA">
        <w:trPr>
          <w:tblCellSpacing w:w="15" w:type="dxa"/>
        </w:trPr>
        <w:tc>
          <w:tcPr>
            <w:tcW w:w="1231" w:type="dxa"/>
            <w:vAlign w:val="center"/>
            <w:hideMark/>
          </w:tcPr>
          <w:p w14:paraId="368062DA" w14:textId="77777777" w:rsidR="006D56EE" w:rsidRPr="00D401FA" w:rsidRDefault="006D56EE" w:rsidP="00D401FA">
            <w:pPr>
              <w:spacing w:after="0" w:line="240" w:lineRule="auto"/>
              <w:jc w:val="both"/>
              <w:rPr>
                <w:rFonts w:ascii="Aptos" w:hAnsi="Aptos"/>
              </w:rPr>
            </w:pPr>
            <w:r w:rsidRPr="00D401FA">
              <w:rPr>
                <w:rFonts w:ascii="Aptos" w:hAnsi="Aptos"/>
              </w:rPr>
              <w:t>ESCP</w:t>
            </w:r>
          </w:p>
        </w:tc>
        <w:tc>
          <w:tcPr>
            <w:tcW w:w="0" w:type="auto"/>
            <w:vAlign w:val="center"/>
            <w:hideMark/>
          </w:tcPr>
          <w:p w14:paraId="765D130B" w14:textId="77777777" w:rsidR="006D56EE" w:rsidRPr="00D401FA" w:rsidRDefault="006D56EE" w:rsidP="00D401FA">
            <w:pPr>
              <w:spacing w:after="0" w:line="240" w:lineRule="auto"/>
              <w:jc w:val="both"/>
              <w:rPr>
                <w:rFonts w:ascii="Aptos" w:hAnsi="Aptos"/>
              </w:rPr>
            </w:pPr>
            <w:r w:rsidRPr="00D401FA">
              <w:rPr>
                <w:rFonts w:ascii="Aptos" w:hAnsi="Aptos"/>
              </w:rPr>
              <w:t>Plan d’engagement environnemental et social</w:t>
            </w:r>
          </w:p>
        </w:tc>
      </w:tr>
      <w:tr w:rsidR="00367AF1" w:rsidRPr="00D401FA" w14:paraId="2F805CBC" w14:textId="77777777" w:rsidTr="00D401FA">
        <w:trPr>
          <w:tblCellSpacing w:w="15" w:type="dxa"/>
        </w:trPr>
        <w:tc>
          <w:tcPr>
            <w:tcW w:w="1231" w:type="dxa"/>
            <w:vAlign w:val="center"/>
            <w:hideMark/>
          </w:tcPr>
          <w:p w14:paraId="6D906195" w14:textId="77777777" w:rsidR="006D56EE" w:rsidRPr="00D401FA" w:rsidRDefault="006D56EE" w:rsidP="00D401FA">
            <w:pPr>
              <w:spacing w:after="0" w:line="240" w:lineRule="auto"/>
              <w:jc w:val="both"/>
              <w:rPr>
                <w:rFonts w:ascii="Aptos" w:hAnsi="Aptos"/>
              </w:rPr>
            </w:pPr>
            <w:r w:rsidRPr="00D401FA">
              <w:rPr>
                <w:rFonts w:ascii="Aptos" w:hAnsi="Aptos"/>
              </w:rPr>
              <w:t>ESF</w:t>
            </w:r>
          </w:p>
        </w:tc>
        <w:tc>
          <w:tcPr>
            <w:tcW w:w="0" w:type="auto"/>
            <w:vAlign w:val="center"/>
            <w:hideMark/>
          </w:tcPr>
          <w:p w14:paraId="56FC7E26" w14:textId="77777777" w:rsidR="006D56EE" w:rsidRPr="00D401FA" w:rsidRDefault="006D56EE" w:rsidP="00D401FA">
            <w:pPr>
              <w:spacing w:after="0" w:line="240" w:lineRule="auto"/>
              <w:jc w:val="both"/>
              <w:rPr>
                <w:rFonts w:ascii="Aptos" w:hAnsi="Aptos"/>
              </w:rPr>
            </w:pPr>
            <w:r w:rsidRPr="00D401FA">
              <w:rPr>
                <w:rFonts w:ascii="Aptos" w:hAnsi="Aptos"/>
              </w:rPr>
              <w:t>Cadre environnemental et social</w:t>
            </w:r>
          </w:p>
        </w:tc>
      </w:tr>
      <w:tr w:rsidR="00367AF1" w:rsidRPr="00D401FA" w14:paraId="729519D4" w14:textId="77777777" w:rsidTr="00D401FA">
        <w:trPr>
          <w:tblCellSpacing w:w="15" w:type="dxa"/>
        </w:trPr>
        <w:tc>
          <w:tcPr>
            <w:tcW w:w="1231" w:type="dxa"/>
            <w:vAlign w:val="center"/>
            <w:hideMark/>
          </w:tcPr>
          <w:p w14:paraId="6A726579" w14:textId="77777777" w:rsidR="006D56EE" w:rsidRPr="00D401FA" w:rsidRDefault="006D56EE" w:rsidP="00D401FA">
            <w:pPr>
              <w:spacing w:after="0" w:line="240" w:lineRule="auto"/>
              <w:jc w:val="both"/>
              <w:rPr>
                <w:rFonts w:ascii="Aptos" w:hAnsi="Aptos"/>
              </w:rPr>
            </w:pPr>
            <w:r w:rsidRPr="00D401FA">
              <w:rPr>
                <w:rFonts w:ascii="Aptos" w:hAnsi="Aptos"/>
              </w:rPr>
              <w:t>REES</w:t>
            </w:r>
          </w:p>
        </w:tc>
        <w:tc>
          <w:tcPr>
            <w:tcW w:w="0" w:type="auto"/>
            <w:vAlign w:val="center"/>
            <w:hideMark/>
          </w:tcPr>
          <w:p w14:paraId="41ABB03E" w14:textId="77777777" w:rsidR="006D56EE" w:rsidRPr="00D401FA" w:rsidRDefault="006D56EE" w:rsidP="00D401FA">
            <w:pPr>
              <w:spacing w:after="0" w:line="240" w:lineRule="auto"/>
              <w:jc w:val="both"/>
              <w:rPr>
                <w:rFonts w:ascii="Aptos" w:hAnsi="Aptos"/>
              </w:rPr>
            </w:pPr>
            <w:r w:rsidRPr="00D401FA">
              <w:rPr>
                <w:rFonts w:ascii="Aptos" w:hAnsi="Aptos"/>
              </w:rPr>
              <w:t>Résumé de l’examen environnemental et social</w:t>
            </w:r>
          </w:p>
        </w:tc>
      </w:tr>
      <w:tr w:rsidR="00367AF1" w:rsidRPr="00D401FA" w14:paraId="206C0817" w14:textId="77777777" w:rsidTr="00D401FA">
        <w:trPr>
          <w:tblCellSpacing w:w="15" w:type="dxa"/>
        </w:trPr>
        <w:tc>
          <w:tcPr>
            <w:tcW w:w="1231" w:type="dxa"/>
            <w:vAlign w:val="center"/>
            <w:hideMark/>
          </w:tcPr>
          <w:p w14:paraId="5D0CDC04" w14:textId="77777777" w:rsidR="006D56EE" w:rsidRPr="00D401FA" w:rsidRDefault="006D56EE" w:rsidP="00D401FA">
            <w:pPr>
              <w:spacing w:after="0" w:line="240" w:lineRule="auto"/>
              <w:jc w:val="both"/>
              <w:rPr>
                <w:rFonts w:ascii="Aptos" w:hAnsi="Aptos"/>
              </w:rPr>
            </w:pPr>
            <w:r w:rsidRPr="00D401FA">
              <w:rPr>
                <w:rFonts w:ascii="Aptos" w:hAnsi="Aptos"/>
              </w:rPr>
              <w:t>NES</w:t>
            </w:r>
          </w:p>
        </w:tc>
        <w:tc>
          <w:tcPr>
            <w:tcW w:w="0" w:type="auto"/>
            <w:vAlign w:val="center"/>
            <w:hideMark/>
          </w:tcPr>
          <w:p w14:paraId="516164FC" w14:textId="77777777" w:rsidR="006D56EE" w:rsidRPr="00D401FA" w:rsidRDefault="006D56EE" w:rsidP="00D401FA">
            <w:pPr>
              <w:spacing w:after="0" w:line="240" w:lineRule="auto"/>
              <w:jc w:val="both"/>
              <w:rPr>
                <w:rFonts w:ascii="Aptos" w:hAnsi="Aptos"/>
              </w:rPr>
            </w:pPr>
            <w:r w:rsidRPr="00D401FA">
              <w:rPr>
                <w:rFonts w:ascii="Aptos" w:hAnsi="Aptos"/>
              </w:rPr>
              <w:t>Normes environnementales et sociales</w:t>
            </w:r>
          </w:p>
        </w:tc>
      </w:tr>
      <w:tr w:rsidR="00367AF1" w:rsidRPr="00D401FA" w14:paraId="4CCA37F9" w14:textId="77777777" w:rsidTr="00D401FA">
        <w:trPr>
          <w:tblCellSpacing w:w="15" w:type="dxa"/>
        </w:trPr>
        <w:tc>
          <w:tcPr>
            <w:tcW w:w="1231" w:type="dxa"/>
            <w:vAlign w:val="center"/>
            <w:hideMark/>
          </w:tcPr>
          <w:p w14:paraId="6B7F2D73" w14:textId="77777777" w:rsidR="006D56EE" w:rsidRPr="00D401FA" w:rsidRDefault="006D56EE" w:rsidP="00D401FA">
            <w:pPr>
              <w:spacing w:after="0" w:line="240" w:lineRule="auto"/>
              <w:jc w:val="both"/>
              <w:rPr>
                <w:rFonts w:ascii="Aptos" w:hAnsi="Aptos"/>
              </w:rPr>
            </w:pPr>
            <w:r w:rsidRPr="00D401FA">
              <w:rPr>
                <w:rFonts w:ascii="Aptos" w:hAnsi="Aptos"/>
              </w:rPr>
              <w:t>FM</w:t>
            </w:r>
          </w:p>
        </w:tc>
        <w:tc>
          <w:tcPr>
            <w:tcW w:w="0" w:type="auto"/>
            <w:vAlign w:val="center"/>
            <w:hideMark/>
          </w:tcPr>
          <w:p w14:paraId="08FF7F7B" w14:textId="77777777" w:rsidR="006D56EE" w:rsidRPr="00D401FA" w:rsidRDefault="006D56EE" w:rsidP="00D401FA">
            <w:pPr>
              <w:spacing w:after="0" w:line="240" w:lineRule="auto"/>
              <w:jc w:val="both"/>
              <w:rPr>
                <w:rFonts w:ascii="Aptos" w:hAnsi="Aptos"/>
              </w:rPr>
            </w:pPr>
            <w:r w:rsidRPr="00D401FA">
              <w:rPr>
                <w:rFonts w:ascii="Aptos" w:hAnsi="Aptos"/>
              </w:rPr>
              <w:t>Gestion financière</w:t>
            </w:r>
          </w:p>
        </w:tc>
      </w:tr>
      <w:tr w:rsidR="00367AF1" w:rsidRPr="00D401FA" w14:paraId="047C79B8" w14:textId="77777777" w:rsidTr="00D401FA">
        <w:trPr>
          <w:tblCellSpacing w:w="15" w:type="dxa"/>
        </w:trPr>
        <w:tc>
          <w:tcPr>
            <w:tcW w:w="1231" w:type="dxa"/>
            <w:vAlign w:val="center"/>
            <w:hideMark/>
          </w:tcPr>
          <w:p w14:paraId="04D21E55" w14:textId="77777777" w:rsidR="006D56EE" w:rsidRPr="00D401FA" w:rsidRDefault="006D56EE" w:rsidP="00D401FA">
            <w:pPr>
              <w:spacing w:after="0" w:line="240" w:lineRule="auto"/>
              <w:jc w:val="both"/>
              <w:rPr>
                <w:rFonts w:ascii="Aptos" w:hAnsi="Aptos"/>
              </w:rPr>
            </w:pPr>
            <w:r w:rsidRPr="00D401FA">
              <w:rPr>
                <w:rFonts w:ascii="Aptos" w:hAnsi="Aptos"/>
              </w:rPr>
              <w:t>FSA</w:t>
            </w:r>
          </w:p>
        </w:tc>
        <w:tc>
          <w:tcPr>
            <w:tcW w:w="0" w:type="auto"/>
            <w:vAlign w:val="center"/>
            <w:hideMark/>
          </w:tcPr>
          <w:p w14:paraId="0BE25250" w14:textId="77777777" w:rsidR="006D56EE" w:rsidRPr="00D401FA" w:rsidRDefault="006D56EE" w:rsidP="00D401FA">
            <w:pPr>
              <w:spacing w:after="0" w:line="240" w:lineRule="auto"/>
              <w:jc w:val="both"/>
              <w:rPr>
                <w:rFonts w:ascii="Aptos" w:hAnsi="Aptos"/>
              </w:rPr>
            </w:pPr>
            <w:r w:rsidRPr="00D401FA">
              <w:rPr>
                <w:rFonts w:ascii="Aptos" w:hAnsi="Aptos"/>
              </w:rPr>
              <w:t>Évaluation des systèmes fiduciaires</w:t>
            </w:r>
          </w:p>
        </w:tc>
      </w:tr>
      <w:tr w:rsidR="00367AF1" w:rsidRPr="00D401FA" w14:paraId="7FCDFE10" w14:textId="77777777" w:rsidTr="00D401FA">
        <w:trPr>
          <w:tblCellSpacing w:w="15" w:type="dxa"/>
        </w:trPr>
        <w:tc>
          <w:tcPr>
            <w:tcW w:w="1231" w:type="dxa"/>
            <w:vAlign w:val="center"/>
            <w:hideMark/>
          </w:tcPr>
          <w:p w14:paraId="3656333A" w14:textId="77777777" w:rsidR="006D56EE" w:rsidRPr="00D401FA" w:rsidRDefault="006D56EE" w:rsidP="00D401FA">
            <w:pPr>
              <w:spacing w:after="0" w:line="240" w:lineRule="auto"/>
              <w:jc w:val="both"/>
              <w:rPr>
                <w:rFonts w:ascii="Aptos" w:hAnsi="Aptos"/>
              </w:rPr>
            </w:pPr>
            <w:r w:rsidRPr="00D401FA">
              <w:rPr>
                <w:rFonts w:ascii="Aptos" w:hAnsi="Aptos"/>
              </w:rPr>
              <w:t>TBS</w:t>
            </w:r>
          </w:p>
        </w:tc>
        <w:tc>
          <w:tcPr>
            <w:tcW w:w="0" w:type="auto"/>
            <w:vAlign w:val="center"/>
            <w:hideMark/>
          </w:tcPr>
          <w:p w14:paraId="23F8186E" w14:textId="77777777" w:rsidR="006D56EE" w:rsidRPr="00D401FA" w:rsidRDefault="006D56EE" w:rsidP="00D401FA">
            <w:pPr>
              <w:spacing w:after="0" w:line="240" w:lineRule="auto"/>
              <w:jc w:val="both"/>
              <w:rPr>
                <w:rFonts w:ascii="Aptos" w:hAnsi="Aptos"/>
              </w:rPr>
            </w:pPr>
            <w:r w:rsidRPr="00D401FA">
              <w:rPr>
                <w:rFonts w:ascii="Aptos" w:hAnsi="Aptos"/>
              </w:rPr>
              <w:t>Taux brut de scolarisation</w:t>
            </w:r>
          </w:p>
        </w:tc>
      </w:tr>
      <w:tr w:rsidR="00367AF1" w:rsidRPr="00D401FA" w14:paraId="1758DE07" w14:textId="77777777" w:rsidTr="00D401FA">
        <w:trPr>
          <w:tblCellSpacing w:w="15" w:type="dxa"/>
        </w:trPr>
        <w:tc>
          <w:tcPr>
            <w:tcW w:w="1231" w:type="dxa"/>
            <w:vAlign w:val="center"/>
            <w:hideMark/>
          </w:tcPr>
          <w:p w14:paraId="1C989E4E" w14:textId="77777777" w:rsidR="006D56EE" w:rsidRPr="00D401FA" w:rsidRDefault="006D56EE" w:rsidP="00D401FA">
            <w:pPr>
              <w:spacing w:after="0" w:line="240" w:lineRule="auto"/>
              <w:jc w:val="both"/>
              <w:rPr>
                <w:rFonts w:ascii="Aptos" w:hAnsi="Aptos"/>
              </w:rPr>
            </w:pPr>
            <w:r w:rsidRPr="00D401FA">
              <w:rPr>
                <w:rFonts w:ascii="Aptos" w:hAnsi="Aptos"/>
              </w:rPr>
              <w:t>GES</w:t>
            </w:r>
          </w:p>
        </w:tc>
        <w:tc>
          <w:tcPr>
            <w:tcW w:w="0" w:type="auto"/>
            <w:vAlign w:val="center"/>
            <w:hideMark/>
          </w:tcPr>
          <w:p w14:paraId="25FDDECB" w14:textId="77777777" w:rsidR="006D56EE" w:rsidRPr="00D401FA" w:rsidRDefault="006D56EE" w:rsidP="00D401FA">
            <w:pPr>
              <w:spacing w:after="0" w:line="240" w:lineRule="auto"/>
              <w:jc w:val="both"/>
              <w:rPr>
                <w:rFonts w:ascii="Aptos" w:hAnsi="Aptos"/>
              </w:rPr>
            </w:pPr>
            <w:r w:rsidRPr="00D401FA">
              <w:rPr>
                <w:rFonts w:ascii="Aptos" w:hAnsi="Aptos"/>
              </w:rPr>
              <w:t>Gaz à effet de serre</w:t>
            </w:r>
          </w:p>
        </w:tc>
      </w:tr>
      <w:tr w:rsidR="00367AF1" w:rsidRPr="00D401FA" w14:paraId="22A450D5" w14:textId="77777777" w:rsidTr="00D401FA">
        <w:trPr>
          <w:tblCellSpacing w:w="15" w:type="dxa"/>
        </w:trPr>
        <w:tc>
          <w:tcPr>
            <w:tcW w:w="1231" w:type="dxa"/>
            <w:vAlign w:val="center"/>
            <w:hideMark/>
          </w:tcPr>
          <w:p w14:paraId="474A6292" w14:textId="77777777" w:rsidR="006D56EE" w:rsidRPr="00D401FA" w:rsidRDefault="006D56EE" w:rsidP="00D401FA">
            <w:pPr>
              <w:spacing w:after="0" w:line="240" w:lineRule="auto"/>
              <w:jc w:val="both"/>
              <w:rPr>
                <w:rFonts w:ascii="Aptos" w:hAnsi="Aptos"/>
              </w:rPr>
            </w:pPr>
            <w:r w:rsidRPr="00D401FA">
              <w:rPr>
                <w:rFonts w:ascii="Aptos" w:hAnsi="Aptos"/>
              </w:rPr>
              <w:t>GdM</w:t>
            </w:r>
          </w:p>
        </w:tc>
        <w:tc>
          <w:tcPr>
            <w:tcW w:w="0" w:type="auto"/>
            <w:vAlign w:val="center"/>
            <w:hideMark/>
          </w:tcPr>
          <w:p w14:paraId="0BB46571" w14:textId="77777777" w:rsidR="006D56EE" w:rsidRPr="00D401FA" w:rsidRDefault="006D56EE" w:rsidP="00D401FA">
            <w:pPr>
              <w:spacing w:after="0" w:line="240" w:lineRule="auto"/>
              <w:jc w:val="both"/>
              <w:rPr>
                <w:rFonts w:ascii="Aptos" w:hAnsi="Aptos"/>
              </w:rPr>
            </w:pPr>
            <w:r w:rsidRPr="00D401FA">
              <w:rPr>
                <w:rFonts w:ascii="Aptos" w:hAnsi="Aptos"/>
              </w:rPr>
              <w:t>Gouvernement de la Mauritanie</w:t>
            </w:r>
          </w:p>
        </w:tc>
      </w:tr>
      <w:tr w:rsidR="00367AF1" w:rsidRPr="00D401FA" w14:paraId="1A2E0DF1" w14:textId="77777777" w:rsidTr="00D401FA">
        <w:trPr>
          <w:tblCellSpacing w:w="15" w:type="dxa"/>
        </w:trPr>
        <w:tc>
          <w:tcPr>
            <w:tcW w:w="1231" w:type="dxa"/>
            <w:vAlign w:val="center"/>
            <w:hideMark/>
          </w:tcPr>
          <w:p w14:paraId="14BDB860" w14:textId="77777777" w:rsidR="006D56EE" w:rsidRPr="00D401FA" w:rsidRDefault="006D56EE" w:rsidP="00D401FA">
            <w:pPr>
              <w:spacing w:after="0" w:line="240" w:lineRule="auto"/>
              <w:jc w:val="both"/>
              <w:rPr>
                <w:rFonts w:ascii="Aptos" w:hAnsi="Aptos"/>
              </w:rPr>
            </w:pPr>
            <w:r w:rsidRPr="00D401FA">
              <w:rPr>
                <w:rFonts w:ascii="Aptos" w:hAnsi="Aptos"/>
              </w:rPr>
              <w:t>GRS</w:t>
            </w:r>
          </w:p>
        </w:tc>
        <w:tc>
          <w:tcPr>
            <w:tcW w:w="0" w:type="auto"/>
            <w:vAlign w:val="center"/>
            <w:hideMark/>
          </w:tcPr>
          <w:p w14:paraId="4D56E8CE" w14:textId="77777777" w:rsidR="006D56EE" w:rsidRPr="00D401FA" w:rsidRDefault="006D56EE" w:rsidP="00D401FA">
            <w:pPr>
              <w:spacing w:after="0" w:line="240" w:lineRule="auto"/>
              <w:jc w:val="both"/>
              <w:rPr>
                <w:rFonts w:ascii="Aptos" w:hAnsi="Aptos"/>
              </w:rPr>
            </w:pPr>
            <w:r w:rsidRPr="00D401FA">
              <w:rPr>
                <w:rFonts w:ascii="Aptos" w:hAnsi="Aptos"/>
              </w:rPr>
              <w:t>Service de traitement des plaintes</w:t>
            </w:r>
          </w:p>
        </w:tc>
      </w:tr>
      <w:tr w:rsidR="00367AF1" w:rsidRPr="00D401FA" w14:paraId="3BF4DB05" w14:textId="77777777" w:rsidTr="00D401FA">
        <w:trPr>
          <w:tblCellSpacing w:w="15" w:type="dxa"/>
        </w:trPr>
        <w:tc>
          <w:tcPr>
            <w:tcW w:w="1231" w:type="dxa"/>
            <w:vAlign w:val="center"/>
            <w:hideMark/>
          </w:tcPr>
          <w:p w14:paraId="73D987A0" w14:textId="77777777" w:rsidR="006D56EE" w:rsidRPr="00D401FA" w:rsidRDefault="006D56EE" w:rsidP="00D401FA">
            <w:pPr>
              <w:spacing w:after="0" w:line="240" w:lineRule="auto"/>
              <w:jc w:val="both"/>
              <w:rPr>
                <w:rFonts w:ascii="Aptos" w:hAnsi="Aptos"/>
              </w:rPr>
            </w:pPr>
            <w:r w:rsidRPr="00D401FA">
              <w:rPr>
                <w:rFonts w:ascii="Aptos" w:hAnsi="Aptos"/>
              </w:rPr>
              <w:t>GPE</w:t>
            </w:r>
          </w:p>
        </w:tc>
        <w:tc>
          <w:tcPr>
            <w:tcW w:w="0" w:type="auto"/>
            <w:vAlign w:val="center"/>
            <w:hideMark/>
          </w:tcPr>
          <w:p w14:paraId="7B35045A" w14:textId="77777777" w:rsidR="006D56EE" w:rsidRPr="00D401FA" w:rsidRDefault="006D56EE" w:rsidP="00D401FA">
            <w:pPr>
              <w:spacing w:after="0" w:line="240" w:lineRule="auto"/>
              <w:jc w:val="both"/>
              <w:rPr>
                <w:rFonts w:ascii="Aptos" w:hAnsi="Aptos"/>
              </w:rPr>
            </w:pPr>
            <w:r w:rsidRPr="00D401FA">
              <w:rPr>
                <w:rFonts w:ascii="Aptos" w:hAnsi="Aptos"/>
              </w:rPr>
              <w:t>Partenariat mondial pour l’éducation</w:t>
            </w:r>
          </w:p>
        </w:tc>
      </w:tr>
      <w:tr w:rsidR="00367AF1" w:rsidRPr="00D401FA" w14:paraId="5EF68EC6" w14:textId="77777777" w:rsidTr="00D401FA">
        <w:trPr>
          <w:tblCellSpacing w:w="15" w:type="dxa"/>
        </w:trPr>
        <w:tc>
          <w:tcPr>
            <w:tcW w:w="1231" w:type="dxa"/>
            <w:vAlign w:val="center"/>
            <w:hideMark/>
          </w:tcPr>
          <w:p w14:paraId="3B831F11" w14:textId="77777777" w:rsidR="006D56EE" w:rsidRPr="00D401FA" w:rsidRDefault="006D56EE" w:rsidP="00D401FA">
            <w:pPr>
              <w:spacing w:after="0" w:line="240" w:lineRule="auto"/>
              <w:jc w:val="both"/>
              <w:rPr>
                <w:rFonts w:ascii="Aptos" w:hAnsi="Aptos"/>
              </w:rPr>
            </w:pPr>
            <w:r w:rsidRPr="00D401FA">
              <w:rPr>
                <w:rFonts w:ascii="Aptos" w:hAnsi="Aptos"/>
              </w:rPr>
              <w:t>ICR</w:t>
            </w:r>
          </w:p>
        </w:tc>
        <w:tc>
          <w:tcPr>
            <w:tcW w:w="0" w:type="auto"/>
            <w:vAlign w:val="center"/>
            <w:hideMark/>
          </w:tcPr>
          <w:p w14:paraId="304B9742" w14:textId="77777777" w:rsidR="006D56EE" w:rsidRPr="00D401FA" w:rsidRDefault="006D56EE" w:rsidP="00D401FA">
            <w:pPr>
              <w:spacing w:after="0" w:line="240" w:lineRule="auto"/>
              <w:jc w:val="both"/>
              <w:rPr>
                <w:rFonts w:ascii="Aptos" w:hAnsi="Aptos"/>
              </w:rPr>
            </w:pPr>
            <w:r w:rsidRPr="00D401FA">
              <w:rPr>
                <w:rFonts w:ascii="Aptos" w:hAnsi="Aptos"/>
              </w:rPr>
              <w:t>Rapport d’achèvement et de résultats de la mise en œuvre</w:t>
            </w:r>
          </w:p>
        </w:tc>
      </w:tr>
      <w:tr w:rsidR="00367AF1" w:rsidRPr="00D401FA" w14:paraId="5EB28483" w14:textId="77777777" w:rsidTr="00D401FA">
        <w:trPr>
          <w:tblCellSpacing w:w="15" w:type="dxa"/>
        </w:trPr>
        <w:tc>
          <w:tcPr>
            <w:tcW w:w="1231" w:type="dxa"/>
            <w:vAlign w:val="center"/>
            <w:hideMark/>
          </w:tcPr>
          <w:p w14:paraId="33D02CEE" w14:textId="77777777" w:rsidR="006D56EE" w:rsidRPr="00D401FA" w:rsidRDefault="006D56EE" w:rsidP="00D401FA">
            <w:pPr>
              <w:spacing w:after="0" w:line="240" w:lineRule="auto"/>
              <w:jc w:val="both"/>
              <w:rPr>
                <w:rFonts w:ascii="Aptos" w:hAnsi="Aptos"/>
              </w:rPr>
            </w:pPr>
            <w:r w:rsidRPr="00D401FA">
              <w:rPr>
                <w:rFonts w:ascii="Aptos" w:hAnsi="Aptos"/>
              </w:rPr>
              <w:t>IDA</w:t>
            </w:r>
          </w:p>
        </w:tc>
        <w:tc>
          <w:tcPr>
            <w:tcW w:w="0" w:type="auto"/>
            <w:vAlign w:val="center"/>
            <w:hideMark/>
          </w:tcPr>
          <w:p w14:paraId="5458689F" w14:textId="77777777" w:rsidR="006D56EE" w:rsidRPr="00D401FA" w:rsidRDefault="006D56EE" w:rsidP="00D401FA">
            <w:pPr>
              <w:spacing w:after="0" w:line="240" w:lineRule="auto"/>
              <w:jc w:val="both"/>
              <w:rPr>
                <w:rFonts w:ascii="Aptos" w:hAnsi="Aptos"/>
              </w:rPr>
            </w:pPr>
            <w:r w:rsidRPr="00D401FA">
              <w:rPr>
                <w:rFonts w:ascii="Aptos" w:hAnsi="Aptos"/>
              </w:rPr>
              <w:t>Association internationale de développement</w:t>
            </w:r>
          </w:p>
        </w:tc>
      </w:tr>
      <w:tr w:rsidR="00367AF1" w:rsidRPr="00D401FA" w14:paraId="51CA2FF5" w14:textId="77777777" w:rsidTr="00D401FA">
        <w:trPr>
          <w:tblCellSpacing w:w="15" w:type="dxa"/>
        </w:trPr>
        <w:tc>
          <w:tcPr>
            <w:tcW w:w="1231" w:type="dxa"/>
            <w:vAlign w:val="center"/>
            <w:hideMark/>
          </w:tcPr>
          <w:p w14:paraId="01926CE3" w14:textId="77777777" w:rsidR="006D56EE" w:rsidRPr="00D401FA" w:rsidRDefault="006D56EE" w:rsidP="00D401FA">
            <w:pPr>
              <w:spacing w:after="0" w:line="240" w:lineRule="auto"/>
              <w:jc w:val="both"/>
              <w:rPr>
                <w:rFonts w:ascii="Aptos" w:hAnsi="Aptos"/>
              </w:rPr>
            </w:pPr>
            <w:r w:rsidRPr="00D401FA">
              <w:rPr>
                <w:rFonts w:ascii="Aptos" w:hAnsi="Aptos"/>
              </w:rPr>
              <w:t>EE</w:t>
            </w:r>
          </w:p>
        </w:tc>
        <w:tc>
          <w:tcPr>
            <w:tcW w:w="0" w:type="auto"/>
            <w:vAlign w:val="center"/>
            <w:hideMark/>
          </w:tcPr>
          <w:p w14:paraId="6967E507" w14:textId="77777777" w:rsidR="006D56EE" w:rsidRPr="00D401FA" w:rsidRDefault="006D56EE" w:rsidP="00D401FA">
            <w:pPr>
              <w:spacing w:after="0" w:line="240" w:lineRule="auto"/>
              <w:jc w:val="both"/>
              <w:rPr>
                <w:rFonts w:ascii="Aptos" w:hAnsi="Aptos"/>
              </w:rPr>
            </w:pPr>
            <w:r w:rsidRPr="00D401FA">
              <w:rPr>
                <w:rFonts w:ascii="Aptos" w:hAnsi="Aptos"/>
              </w:rPr>
              <w:t>Entités d’exécution</w:t>
            </w:r>
          </w:p>
        </w:tc>
      </w:tr>
      <w:tr w:rsidR="00367AF1" w:rsidRPr="00D401FA" w14:paraId="51064C4B" w14:textId="77777777" w:rsidTr="00D401FA">
        <w:trPr>
          <w:tblCellSpacing w:w="15" w:type="dxa"/>
        </w:trPr>
        <w:tc>
          <w:tcPr>
            <w:tcW w:w="1231" w:type="dxa"/>
            <w:vAlign w:val="center"/>
            <w:hideMark/>
          </w:tcPr>
          <w:p w14:paraId="549EBD51" w14:textId="77777777" w:rsidR="006D56EE" w:rsidRPr="00D401FA" w:rsidRDefault="006D56EE" w:rsidP="00D401FA">
            <w:pPr>
              <w:spacing w:after="0" w:line="240" w:lineRule="auto"/>
              <w:jc w:val="both"/>
              <w:rPr>
                <w:rFonts w:ascii="Aptos" w:hAnsi="Aptos"/>
              </w:rPr>
            </w:pPr>
            <w:r w:rsidRPr="00D401FA">
              <w:rPr>
                <w:rFonts w:ascii="Aptos" w:hAnsi="Aptos"/>
              </w:rPr>
              <w:t>IMF</w:t>
            </w:r>
          </w:p>
        </w:tc>
        <w:tc>
          <w:tcPr>
            <w:tcW w:w="0" w:type="auto"/>
            <w:vAlign w:val="center"/>
            <w:hideMark/>
          </w:tcPr>
          <w:p w14:paraId="68D1BB2B" w14:textId="77777777" w:rsidR="006D56EE" w:rsidRPr="00D401FA" w:rsidRDefault="006D56EE" w:rsidP="00D401FA">
            <w:pPr>
              <w:spacing w:after="0" w:line="240" w:lineRule="auto"/>
              <w:jc w:val="both"/>
              <w:rPr>
                <w:rFonts w:ascii="Aptos" w:hAnsi="Aptos"/>
              </w:rPr>
            </w:pPr>
            <w:r w:rsidRPr="00D401FA">
              <w:rPr>
                <w:rFonts w:ascii="Aptos" w:hAnsi="Aptos"/>
              </w:rPr>
              <w:t>Fonds monétaire international</w:t>
            </w:r>
          </w:p>
        </w:tc>
      </w:tr>
      <w:tr w:rsidR="00367AF1" w:rsidRPr="00D401FA" w14:paraId="112D203E" w14:textId="77777777" w:rsidTr="00D401FA">
        <w:trPr>
          <w:tblCellSpacing w:w="15" w:type="dxa"/>
        </w:trPr>
        <w:tc>
          <w:tcPr>
            <w:tcW w:w="1231" w:type="dxa"/>
            <w:vAlign w:val="center"/>
            <w:hideMark/>
          </w:tcPr>
          <w:p w14:paraId="79A9B3C2" w14:textId="77777777" w:rsidR="006D56EE" w:rsidRPr="00D401FA" w:rsidRDefault="006D56EE" w:rsidP="00D401FA">
            <w:pPr>
              <w:spacing w:after="0" w:line="240" w:lineRule="auto"/>
              <w:jc w:val="both"/>
              <w:rPr>
                <w:rFonts w:ascii="Aptos" w:hAnsi="Aptos"/>
              </w:rPr>
            </w:pPr>
            <w:r w:rsidRPr="00D401FA">
              <w:rPr>
                <w:rFonts w:ascii="Aptos" w:hAnsi="Aptos"/>
              </w:rPr>
              <w:t>IPF</w:t>
            </w:r>
          </w:p>
        </w:tc>
        <w:tc>
          <w:tcPr>
            <w:tcW w:w="0" w:type="auto"/>
            <w:vAlign w:val="center"/>
            <w:hideMark/>
          </w:tcPr>
          <w:p w14:paraId="7E62037F" w14:textId="77777777" w:rsidR="006D56EE" w:rsidRPr="00D401FA" w:rsidRDefault="006D56EE" w:rsidP="00D401FA">
            <w:pPr>
              <w:spacing w:after="0" w:line="240" w:lineRule="auto"/>
              <w:jc w:val="both"/>
              <w:rPr>
                <w:rFonts w:ascii="Aptos" w:hAnsi="Aptos"/>
              </w:rPr>
            </w:pPr>
            <w:r w:rsidRPr="00D401FA">
              <w:rPr>
                <w:rFonts w:ascii="Aptos" w:hAnsi="Aptos"/>
              </w:rPr>
              <w:t>Financement de projets d’investissement</w:t>
            </w:r>
          </w:p>
        </w:tc>
      </w:tr>
      <w:tr w:rsidR="00367AF1" w:rsidRPr="00D401FA" w14:paraId="6B19FC9F" w14:textId="77777777" w:rsidTr="00D401FA">
        <w:trPr>
          <w:tblCellSpacing w:w="15" w:type="dxa"/>
        </w:trPr>
        <w:tc>
          <w:tcPr>
            <w:tcW w:w="1231" w:type="dxa"/>
            <w:vAlign w:val="center"/>
            <w:hideMark/>
          </w:tcPr>
          <w:p w14:paraId="0B3A9CCE" w14:textId="77777777" w:rsidR="006D56EE" w:rsidRPr="00D401FA" w:rsidRDefault="006D56EE" w:rsidP="00D401FA">
            <w:pPr>
              <w:spacing w:after="0" w:line="240" w:lineRule="auto"/>
              <w:jc w:val="both"/>
              <w:rPr>
                <w:rFonts w:ascii="Aptos" w:hAnsi="Aptos"/>
              </w:rPr>
            </w:pPr>
            <w:r w:rsidRPr="00D401FA">
              <w:rPr>
                <w:rFonts w:ascii="Aptos" w:hAnsi="Aptos"/>
              </w:rPr>
              <w:t>RIM</w:t>
            </w:r>
          </w:p>
        </w:tc>
        <w:tc>
          <w:tcPr>
            <w:tcW w:w="0" w:type="auto"/>
            <w:vAlign w:val="center"/>
            <w:hideMark/>
          </w:tcPr>
          <w:p w14:paraId="629E39BD" w14:textId="77777777" w:rsidR="006D56EE" w:rsidRPr="00D401FA" w:rsidRDefault="006D56EE" w:rsidP="00D401FA">
            <w:pPr>
              <w:spacing w:after="0" w:line="240" w:lineRule="auto"/>
              <w:jc w:val="both"/>
              <w:rPr>
                <w:rFonts w:ascii="Aptos" w:hAnsi="Aptos"/>
              </w:rPr>
            </w:pPr>
            <w:r w:rsidRPr="00D401FA">
              <w:rPr>
                <w:rFonts w:ascii="Aptos" w:hAnsi="Aptos"/>
              </w:rPr>
              <w:t>République islamique de Mauritanie</w:t>
            </w:r>
          </w:p>
        </w:tc>
      </w:tr>
      <w:tr w:rsidR="00367AF1" w:rsidRPr="00D401FA" w14:paraId="2C440C81" w14:textId="77777777" w:rsidTr="00D401FA">
        <w:trPr>
          <w:tblCellSpacing w:w="15" w:type="dxa"/>
        </w:trPr>
        <w:tc>
          <w:tcPr>
            <w:tcW w:w="1231" w:type="dxa"/>
            <w:vAlign w:val="center"/>
            <w:hideMark/>
          </w:tcPr>
          <w:p w14:paraId="5EFD4E5B" w14:textId="77777777" w:rsidR="006D56EE" w:rsidRPr="00D401FA" w:rsidRDefault="006D56EE" w:rsidP="00D401FA">
            <w:pPr>
              <w:spacing w:after="0" w:line="240" w:lineRule="auto"/>
              <w:jc w:val="both"/>
              <w:rPr>
                <w:rFonts w:ascii="Aptos" w:hAnsi="Aptos"/>
              </w:rPr>
            </w:pPr>
            <w:r w:rsidRPr="00D401FA">
              <w:rPr>
                <w:rFonts w:ascii="Aptos" w:hAnsi="Aptos"/>
              </w:rPr>
              <w:t>TRI</w:t>
            </w:r>
          </w:p>
        </w:tc>
        <w:tc>
          <w:tcPr>
            <w:tcW w:w="0" w:type="auto"/>
            <w:vAlign w:val="center"/>
            <w:hideMark/>
          </w:tcPr>
          <w:p w14:paraId="36B3D6CB" w14:textId="77777777" w:rsidR="006D56EE" w:rsidRPr="00D401FA" w:rsidRDefault="006D56EE" w:rsidP="00D401FA">
            <w:pPr>
              <w:spacing w:after="0" w:line="240" w:lineRule="auto"/>
              <w:jc w:val="both"/>
              <w:rPr>
                <w:rFonts w:ascii="Aptos" w:hAnsi="Aptos"/>
              </w:rPr>
            </w:pPr>
            <w:r w:rsidRPr="00D401FA">
              <w:rPr>
                <w:rFonts w:ascii="Aptos" w:hAnsi="Aptos"/>
              </w:rPr>
              <w:t>Taux de rendement interne</w:t>
            </w:r>
          </w:p>
        </w:tc>
      </w:tr>
      <w:tr w:rsidR="00367AF1" w:rsidRPr="00D401FA" w14:paraId="5B69C5A8" w14:textId="77777777" w:rsidTr="00D401FA">
        <w:trPr>
          <w:tblCellSpacing w:w="15" w:type="dxa"/>
        </w:trPr>
        <w:tc>
          <w:tcPr>
            <w:tcW w:w="1231" w:type="dxa"/>
            <w:vAlign w:val="center"/>
            <w:hideMark/>
          </w:tcPr>
          <w:p w14:paraId="49A073C6" w14:textId="77777777" w:rsidR="006D56EE" w:rsidRPr="00D401FA" w:rsidRDefault="006D56EE" w:rsidP="00D401FA">
            <w:pPr>
              <w:spacing w:after="0" w:line="240" w:lineRule="auto"/>
              <w:jc w:val="both"/>
              <w:rPr>
                <w:rFonts w:ascii="Aptos" w:hAnsi="Aptos"/>
              </w:rPr>
            </w:pPr>
            <w:r w:rsidRPr="00D401FA">
              <w:rPr>
                <w:rFonts w:ascii="Aptos" w:hAnsi="Aptos"/>
              </w:rPr>
              <w:t>AVI</w:t>
            </w:r>
          </w:p>
        </w:tc>
        <w:tc>
          <w:tcPr>
            <w:tcW w:w="0" w:type="auto"/>
            <w:vAlign w:val="center"/>
            <w:hideMark/>
          </w:tcPr>
          <w:p w14:paraId="2B8654A3" w14:textId="77777777" w:rsidR="006D56EE" w:rsidRPr="00D401FA" w:rsidRDefault="006D56EE" w:rsidP="00D401FA">
            <w:pPr>
              <w:spacing w:after="0" w:line="240" w:lineRule="auto"/>
              <w:jc w:val="both"/>
              <w:rPr>
                <w:rFonts w:ascii="Aptos" w:hAnsi="Aptos"/>
              </w:rPr>
            </w:pPr>
            <w:r w:rsidRPr="00D401FA">
              <w:rPr>
                <w:rFonts w:ascii="Aptos" w:hAnsi="Aptos"/>
              </w:rPr>
              <w:t>Agent de vérification indépendant</w:t>
            </w:r>
          </w:p>
        </w:tc>
      </w:tr>
      <w:tr w:rsidR="00367AF1" w:rsidRPr="00D401FA" w14:paraId="5CF49446" w14:textId="77777777" w:rsidTr="00D401FA">
        <w:trPr>
          <w:tblCellSpacing w:w="15" w:type="dxa"/>
        </w:trPr>
        <w:tc>
          <w:tcPr>
            <w:tcW w:w="1231" w:type="dxa"/>
            <w:vAlign w:val="center"/>
            <w:hideMark/>
          </w:tcPr>
          <w:p w14:paraId="03D0B313" w14:textId="77777777" w:rsidR="006D56EE" w:rsidRPr="00D401FA" w:rsidRDefault="006D56EE" w:rsidP="00D401FA">
            <w:pPr>
              <w:spacing w:after="0" w:line="240" w:lineRule="auto"/>
              <w:jc w:val="both"/>
              <w:rPr>
                <w:rFonts w:ascii="Aptos" w:hAnsi="Aptos"/>
              </w:rPr>
            </w:pPr>
            <w:r w:rsidRPr="00D401FA">
              <w:rPr>
                <w:rFonts w:ascii="Aptos" w:hAnsi="Aptos"/>
              </w:rPr>
              <w:t>GLE</w:t>
            </w:r>
          </w:p>
        </w:tc>
        <w:tc>
          <w:tcPr>
            <w:tcW w:w="0" w:type="auto"/>
            <w:vAlign w:val="center"/>
            <w:hideMark/>
          </w:tcPr>
          <w:p w14:paraId="787288BC" w14:textId="77777777" w:rsidR="006D56EE" w:rsidRPr="00D401FA" w:rsidRDefault="006D56EE" w:rsidP="00D401FA">
            <w:pPr>
              <w:spacing w:after="0" w:line="240" w:lineRule="auto"/>
              <w:jc w:val="both"/>
              <w:rPr>
                <w:rFonts w:ascii="Aptos" w:hAnsi="Aptos"/>
              </w:rPr>
            </w:pPr>
            <w:r w:rsidRPr="00D401FA">
              <w:rPr>
                <w:rFonts w:ascii="Aptos" w:hAnsi="Aptos"/>
              </w:rPr>
              <w:t>Groupe local de l’éducation</w:t>
            </w:r>
          </w:p>
        </w:tc>
      </w:tr>
      <w:tr w:rsidR="00367AF1" w:rsidRPr="00D401FA" w14:paraId="1693317F" w14:textId="77777777" w:rsidTr="00D401FA">
        <w:trPr>
          <w:tblCellSpacing w:w="15" w:type="dxa"/>
        </w:trPr>
        <w:tc>
          <w:tcPr>
            <w:tcW w:w="1231" w:type="dxa"/>
            <w:vAlign w:val="center"/>
            <w:hideMark/>
          </w:tcPr>
          <w:p w14:paraId="2DE92490" w14:textId="77777777" w:rsidR="006D56EE" w:rsidRPr="00D401FA" w:rsidRDefault="006D56EE" w:rsidP="00D401FA">
            <w:pPr>
              <w:spacing w:after="0" w:line="240" w:lineRule="auto"/>
              <w:jc w:val="both"/>
              <w:rPr>
                <w:rFonts w:ascii="Aptos" w:hAnsi="Aptos"/>
              </w:rPr>
            </w:pPr>
            <w:r w:rsidRPr="00D401FA">
              <w:rPr>
                <w:rFonts w:ascii="Aptos" w:hAnsi="Aptos"/>
              </w:rPr>
              <w:t>MASEF</w:t>
            </w:r>
          </w:p>
        </w:tc>
        <w:tc>
          <w:tcPr>
            <w:tcW w:w="0" w:type="auto"/>
            <w:vAlign w:val="center"/>
            <w:hideMark/>
          </w:tcPr>
          <w:p w14:paraId="642C67B3" w14:textId="77777777" w:rsidR="006D56EE" w:rsidRPr="00D401FA" w:rsidRDefault="006D56EE" w:rsidP="00D401FA">
            <w:pPr>
              <w:spacing w:after="0" w:line="240" w:lineRule="auto"/>
              <w:jc w:val="both"/>
              <w:rPr>
                <w:rFonts w:ascii="Aptos" w:hAnsi="Aptos"/>
              </w:rPr>
            </w:pPr>
            <w:r w:rsidRPr="00D401FA">
              <w:rPr>
                <w:rFonts w:ascii="Aptos" w:hAnsi="Aptos"/>
              </w:rPr>
              <w:t>Ministère de l’Action Sociale, de l’Enfance et de la Famille</w:t>
            </w:r>
          </w:p>
        </w:tc>
      </w:tr>
      <w:tr w:rsidR="00367AF1" w:rsidRPr="00D401FA" w14:paraId="2D9F4849" w14:textId="77777777" w:rsidTr="00D401FA">
        <w:trPr>
          <w:tblCellSpacing w:w="15" w:type="dxa"/>
        </w:trPr>
        <w:tc>
          <w:tcPr>
            <w:tcW w:w="1231" w:type="dxa"/>
            <w:vAlign w:val="center"/>
            <w:hideMark/>
          </w:tcPr>
          <w:p w14:paraId="27DE8518" w14:textId="77777777" w:rsidR="006D56EE" w:rsidRPr="00D401FA" w:rsidRDefault="006D56EE" w:rsidP="00D401FA">
            <w:pPr>
              <w:spacing w:after="0" w:line="240" w:lineRule="auto"/>
              <w:jc w:val="both"/>
              <w:rPr>
                <w:rFonts w:ascii="Aptos" w:hAnsi="Aptos"/>
              </w:rPr>
            </w:pPr>
            <w:r w:rsidRPr="00D401FA">
              <w:rPr>
                <w:rFonts w:ascii="Aptos" w:hAnsi="Aptos"/>
              </w:rPr>
              <w:t>S&amp;E</w:t>
            </w:r>
          </w:p>
        </w:tc>
        <w:tc>
          <w:tcPr>
            <w:tcW w:w="0" w:type="auto"/>
            <w:vAlign w:val="center"/>
            <w:hideMark/>
          </w:tcPr>
          <w:p w14:paraId="1EA4A6CA" w14:textId="77777777" w:rsidR="006D56EE" w:rsidRPr="00D401FA" w:rsidRDefault="006D56EE" w:rsidP="00D401FA">
            <w:pPr>
              <w:spacing w:after="0" w:line="240" w:lineRule="auto"/>
              <w:jc w:val="both"/>
              <w:rPr>
                <w:rFonts w:ascii="Aptos" w:hAnsi="Aptos"/>
              </w:rPr>
            </w:pPr>
            <w:r w:rsidRPr="00D401FA">
              <w:rPr>
                <w:rFonts w:ascii="Aptos" w:hAnsi="Aptos"/>
              </w:rPr>
              <w:t>Suivi et évaluation</w:t>
            </w:r>
          </w:p>
        </w:tc>
      </w:tr>
      <w:tr w:rsidR="00367AF1" w:rsidRPr="00D401FA" w14:paraId="1FA371C0" w14:textId="77777777" w:rsidTr="00D401FA">
        <w:trPr>
          <w:tblCellSpacing w:w="15" w:type="dxa"/>
        </w:trPr>
        <w:tc>
          <w:tcPr>
            <w:tcW w:w="1231" w:type="dxa"/>
            <w:vAlign w:val="center"/>
            <w:hideMark/>
          </w:tcPr>
          <w:p w14:paraId="52A4D523" w14:textId="77777777" w:rsidR="006D56EE" w:rsidRPr="00D401FA" w:rsidRDefault="006D56EE" w:rsidP="00D401FA">
            <w:pPr>
              <w:spacing w:after="0" w:line="240" w:lineRule="auto"/>
              <w:jc w:val="both"/>
              <w:rPr>
                <w:rFonts w:ascii="Aptos" w:hAnsi="Aptos"/>
              </w:rPr>
            </w:pPr>
            <w:r w:rsidRPr="00D401FA">
              <w:rPr>
                <w:rFonts w:ascii="Aptos" w:hAnsi="Aptos"/>
              </w:rPr>
              <w:t>MEF</w:t>
            </w:r>
          </w:p>
        </w:tc>
        <w:tc>
          <w:tcPr>
            <w:tcW w:w="0" w:type="auto"/>
            <w:vAlign w:val="center"/>
            <w:hideMark/>
          </w:tcPr>
          <w:p w14:paraId="18917789" w14:textId="77777777" w:rsidR="006D56EE" w:rsidRPr="00D401FA" w:rsidRDefault="006D56EE" w:rsidP="00D401FA">
            <w:pPr>
              <w:spacing w:after="0" w:line="240" w:lineRule="auto"/>
              <w:jc w:val="both"/>
              <w:rPr>
                <w:rFonts w:ascii="Aptos" w:hAnsi="Aptos"/>
              </w:rPr>
            </w:pPr>
            <w:r w:rsidRPr="00D401FA">
              <w:rPr>
                <w:rFonts w:ascii="Aptos" w:hAnsi="Aptos"/>
              </w:rPr>
              <w:t>Ministère de l’Économie et des Finances</w:t>
            </w:r>
          </w:p>
        </w:tc>
      </w:tr>
      <w:tr w:rsidR="00367AF1" w:rsidRPr="00D401FA" w14:paraId="4CC9F6AA" w14:textId="77777777" w:rsidTr="00D401FA">
        <w:trPr>
          <w:tblCellSpacing w:w="15" w:type="dxa"/>
        </w:trPr>
        <w:tc>
          <w:tcPr>
            <w:tcW w:w="1231" w:type="dxa"/>
            <w:vAlign w:val="center"/>
            <w:hideMark/>
          </w:tcPr>
          <w:p w14:paraId="5C4FA851" w14:textId="77777777" w:rsidR="006D56EE" w:rsidRPr="00D401FA" w:rsidRDefault="006D56EE" w:rsidP="00D401FA">
            <w:pPr>
              <w:spacing w:after="0" w:line="240" w:lineRule="auto"/>
              <w:jc w:val="both"/>
              <w:rPr>
                <w:rFonts w:ascii="Aptos" w:hAnsi="Aptos"/>
              </w:rPr>
            </w:pPr>
            <w:r w:rsidRPr="00D401FA">
              <w:rPr>
                <w:rFonts w:ascii="Aptos" w:hAnsi="Aptos"/>
              </w:rPr>
              <w:t>MERSE</w:t>
            </w:r>
          </w:p>
        </w:tc>
        <w:tc>
          <w:tcPr>
            <w:tcW w:w="0" w:type="auto"/>
            <w:vAlign w:val="center"/>
            <w:hideMark/>
          </w:tcPr>
          <w:p w14:paraId="76F915E5" w14:textId="77777777" w:rsidR="006D56EE" w:rsidRPr="00D401FA" w:rsidRDefault="006D56EE" w:rsidP="00D401FA">
            <w:pPr>
              <w:spacing w:after="0" w:line="240" w:lineRule="auto"/>
              <w:jc w:val="both"/>
              <w:rPr>
                <w:rFonts w:ascii="Aptos" w:hAnsi="Aptos"/>
              </w:rPr>
            </w:pPr>
            <w:r w:rsidRPr="00D401FA">
              <w:rPr>
                <w:rFonts w:ascii="Aptos" w:hAnsi="Aptos"/>
              </w:rPr>
              <w:t>Ministère de l’Éducation et de la Réforme du Système Éducatif</w:t>
            </w:r>
          </w:p>
        </w:tc>
      </w:tr>
      <w:tr w:rsidR="00367AF1" w:rsidRPr="00D401FA" w14:paraId="5CBABB47" w14:textId="77777777" w:rsidTr="00D401FA">
        <w:trPr>
          <w:tblCellSpacing w:w="15" w:type="dxa"/>
        </w:trPr>
        <w:tc>
          <w:tcPr>
            <w:tcW w:w="1231" w:type="dxa"/>
            <w:vAlign w:val="center"/>
            <w:hideMark/>
          </w:tcPr>
          <w:p w14:paraId="7B08B6FD" w14:textId="77777777" w:rsidR="006D56EE" w:rsidRPr="00D401FA" w:rsidRDefault="006D56EE" w:rsidP="00D401FA">
            <w:pPr>
              <w:spacing w:after="0" w:line="240" w:lineRule="auto"/>
              <w:jc w:val="both"/>
              <w:rPr>
                <w:rFonts w:ascii="Aptos" w:hAnsi="Aptos"/>
              </w:rPr>
            </w:pPr>
            <w:r w:rsidRPr="00D401FA">
              <w:rPr>
                <w:rFonts w:ascii="Aptos" w:hAnsi="Aptos"/>
              </w:rPr>
              <w:t>CDN</w:t>
            </w:r>
          </w:p>
        </w:tc>
        <w:tc>
          <w:tcPr>
            <w:tcW w:w="0" w:type="auto"/>
            <w:vAlign w:val="center"/>
            <w:hideMark/>
          </w:tcPr>
          <w:p w14:paraId="186102F2" w14:textId="77777777" w:rsidR="006D56EE" w:rsidRPr="00D401FA" w:rsidRDefault="006D56EE" w:rsidP="00D401FA">
            <w:pPr>
              <w:spacing w:after="0" w:line="240" w:lineRule="auto"/>
              <w:jc w:val="both"/>
              <w:rPr>
                <w:rFonts w:ascii="Aptos" w:hAnsi="Aptos"/>
              </w:rPr>
            </w:pPr>
            <w:r w:rsidRPr="00D401FA">
              <w:rPr>
                <w:rFonts w:ascii="Aptos" w:hAnsi="Aptos"/>
              </w:rPr>
              <w:t>Contribution déterminée au niveau national</w:t>
            </w:r>
          </w:p>
        </w:tc>
      </w:tr>
      <w:tr w:rsidR="00367AF1" w:rsidRPr="00D401FA" w14:paraId="192E2D53" w14:textId="77777777" w:rsidTr="00D401FA">
        <w:trPr>
          <w:tblCellSpacing w:w="15" w:type="dxa"/>
        </w:trPr>
        <w:tc>
          <w:tcPr>
            <w:tcW w:w="1231" w:type="dxa"/>
            <w:vAlign w:val="center"/>
            <w:hideMark/>
          </w:tcPr>
          <w:p w14:paraId="02AF89EF" w14:textId="77777777" w:rsidR="006D56EE" w:rsidRPr="00D401FA" w:rsidRDefault="006D56EE" w:rsidP="00D401FA">
            <w:pPr>
              <w:spacing w:after="0" w:line="240" w:lineRule="auto"/>
              <w:jc w:val="both"/>
              <w:rPr>
                <w:rFonts w:ascii="Aptos" w:hAnsi="Aptos"/>
              </w:rPr>
            </w:pPr>
            <w:r w:rsidRPr="00D401FA">
              <w:rPr>
                <w:rFonts w:ascii="Aptos" w:hAnsi="Aptos"/>
              </w:rPr>
              <w:lastRenderedPageBreak/>
              <w:t>VAN</w:t>
            </w:r>
          </w:p>
        </w:tc>
        <w:tc>
          <w:tcPr>
            <w:tcW w:w="0" w:type="auto"/>
            <w:vAlign w:val="center"/>
            <w:hideMark/>
          </w:tcPr>
          <w:p w14:paraId="234B41F6" w14:textId="77777777" w:rsidR="006D56EE" w:rsidRPr="00D401FA" w:rsidRDefault="006D56EE" w:rsidP="00D401FA">
            <w:pPr>
              <w:spacing w:after="0" w:line="240" w:lineRule="auto"/>
              <w:jc w:val="both"/>
              <w:rPr>
                <w:rFonts w:ascii="Aptos" w:hAnsi="Aptos"/>
              </w:rPr>
            </w:pPr>
            <w:r w:rsidRPr="00D401FA">
              <w:rPr>
                <w:rFonts w:ascii="Aptos" w:hAnsi="Aptos"/>
              </w:rPr>
              <w:t>Valeur actuelle nette</w:t>
            </w:r>
          </w:p>
        </w:tc>
      </w:tr>
      <w:tr w:rsidR="00367AF1" w:rsidRPr="00D401FA" w14:paraId="7847ABD4" w14:textId="77777777" w:rsidTr="00D401FA">
        <w:trPr>
          <w:tblCellSpacing w:w="15" w:type="dxa"/>
        </w:trPr>
        <w:tc>
          <w:tcPr>
            <w:tcW w:w="1231" w:type="dxa"/>
            <w:vAlign w:val="center"/>
            <w:hideMark/>
          </w:tcPr>
          <w:p w14:paraId="1B8D810D" w14:textId="77777777" w:rsidR="006D56EE" w:rsidRPr="00D401FA" w:rsidRDefault="006D56EE" w:rsidP="00D401FA">
            <w:pPr>
              <w:spacing w:after="0" w:line="240" w:lineRule="auto"/>
              <w:jc w:val="both"/>
              <w:rPr>
                <w:rFonts w:ascii="Aptos" w:hAnsi="Aptos"/>
              </w:rPr>
            </w:pPr>
            <w:r w:rsidRPr="00D401FA">
              <w:rPr>
                <w:rFonts w:ascii="Aptos" w:hAnsi="Aptos"/>
              </w:rPr>
              <w:t>PAP</w:t>
            </w:r>
          </w:p>
        </w:tc>
        <w:tc>
          <w:tcPr>
            <w:tcW w:w="0" w:type="auto"/>
            <w:vAlign w:val="center"/>
            <w:hideMark/>
          </w:tcPr>
          <w:p w14:paraId="1E9C9688" w14:textId="77777777" w:rsidR="006D56EE" w:rsidRPr="00D401FA" w:rsidRDefault="006D56EE" w:rsidP="00D401FA">
            <w:pPr>
              <w:spacing w:after="0" w:line="240" w:lineRule="auto"/>
              <w:jc w:val="both"/>
              <w:rPr>
                <w:rFonts w:ascii="Aptos" w:hAnsi="Aptos"/>
              </w:rPr>
            </w:pPr>
            <w:r w:rsidRPr="00D401FA">
              <w:rPr>
                <w:rFonts w:ascii="Aptos" w:hAnsi="Aptos"/>
              </w:rPr>
              <w:t>Plan d’action du programme</w:t>
            </w:r>
          </w:p>
        </w:tc>
      </w:tr>
      <w:tr w:rsidR="00367AF1" w:rsidRPr="00D401FA" w14:paraId="0CE0DD7C" w14:textId="77777777" w:rsidTr="00D401FA">
        <w:trPr>
          <w:tblCellSpacing w:w="15" w:type="dxa"/>
        </w:trPr>
        <w:tc>
          <w:tcPr>
            <w:tcW w:w="1231" w:type="dxa"/>
            <w:vAlign w:val="center"/>
            <w:hideMark/>
          </w:tcPr>
          <w:p w14:paraId="7097EEB5" w14:textId="77777777" w:rsidR="006D56EE" w:rsidRPr="00D401FA" w:rsidRDefault="006D56EE" w:rsidP="00D401FA">
            <w:pPr>
              <w:spacing w:after="0" w:line="240" w:lineRule="auto"/>
              <w:jc w:val="both"/>
              <w:rPr>
                <w:rFonts w:ascii="Aptos" w:hAnsi="Aptos"/>
              </w:rPr>
            </w:pPr>
            <w:r w:rsidRPr="00D401FA">
              <w:rPr>
                <w:rFonts w:ascii="Aptos" w:hAnsi="Aptos"/>
              </w:rPr>
              <w:t>BPP</w:t>
            </w:r>
          </w:p>
        </w:tc>
        <w:tc>
          <w:tcPr>
            <w:tcW w:w="0" w:type="auto"/>
            <w:vAlign w:val="center"/>
            <w:hideMark/>
          </w:tcPr>
          <w:p w14:paraId="0FAD77FD" w14:textId="77777777" w:rsidR="006D56EE" w:rsidRPr="00D401FA" w:rsidRDefault="006D56EE" w:rsidP="00D401FA">
            <w:pPr>
              <w:spacing w:after="0" w:line="240" w:lineRule="auto"/>
              <w:jc w:val="both"/>
              <w:rPr>
                <w:rFonts w:ascii="Aptos" w:hAnsi="Aptos"/>
              </w:rPr>
            </w:pPr>
            <w:r w:rsidRPr="00D401FA">
              <w:rPr>
                <w:rFonts w:ascii="Aptos" w:hAnsi="Aptos"/>
              </w:rPr>
              <w:t>Budgétisation par programme</w:t>
            </w:r>
          </w:p>
        </w:tc>
      </w:tr>
      <w:tr w:rsidR="00367AF1" w:rsidRPr="00D401FA" w14:paraId="1D7D1B53" w14:textId="77777777" w:rsidTr="00D401FA">
        <w:trPr>
          <w:tblCellSpacing w:w="15" w:type="dxa"/>
        </w:trPr>
        <w:tc>
          <w:tcPr>
            <w:tcW w:w="1231" w:type="dxa"/>
            <w:vAlign w:val="center"/>
            <w:hideMark/>
          </w:tcPr>
          <w:p w14:paraId="299D96D8" w14:textId="77777777" w:rsidR="006D56EE" w:rsidRPr="00D401FA" w:rsidRDefault="006D56EE" w:rsidP="00D401FA">
            <w:pPr>
              <w:spacing w:after="0" w:line="240" w:lineRule="auto"/>
              <w:jc w:val="both"/>
              <w:rPr>
                <w:rFonts w:ascii="Aptos" w:hAnsi="Aptos"/>
              </w:rPr>
            </w:pPr>
            <w:r w:rsidRPr="00D401FA">
              <w:rPr>
                <w:rFonts w:ascii="Aptos" w:hAnsi="Aptos"/>
              </w:rPr>
              <w:t>UCP</w:t>
            </w:r>
          </w:p>
        </w:tc>
        <w:tc>
          <w:tcPr>
            <w:tcW w:w="0" w:type="auto"/>
            <w:vAlign w:val="center"/>
            <w:hideMark/>
          </w:tcPr>
          <w:p w14:paraId="1DB0AA2C" w14:textId="77777777" w:rsidR="006D56EE" w:rsidRPr="00D401FA" w:rsidRDefault="006D56EE" w:rsidP="00D401FA">
            <w:pPr>
              <w:spacing w:after="0" w:line="240" w:lineRule="auto"/>
              <w:jc w:val="both"/>
              <w:rPr>
                <w:rFonts w:ascii="Aptos" w:hAnsi="Aptos"/>
              </w:rPr>
            </w:pPr>
            <w:r w:rsidRPr="00D401FA">
              <w:rPr>
                <w:rFonts w:ascii="Aptos" w:hAnsi="Aptos"/>
              </w:rPr>
              <w:t>Unité de coordination du programme</w:t>
            </w:r>
          </w:p>
        </w:tc>
      </w:tr>
      <w:tr w:rsidR="00367AF1" w:rsidRPr="00D401FA" w14:paraId="1E8AA46B" w14:textId="77777777" w:rsidTr="00D401FA">
        <w:trPr>
          <w:tblCellSpacing w:w="15" w:type="dxa"/>
        </w:trPr>
        <w:tc>
          <w:tcPr>
            <w:tcW w:w="1231" w:type="dxa"/>
            <w:vAlign w:val="center"/>
            <w:hideMark/>
          </w:tcPr>
          <w:p w14:paraId="638E019D" w14:textId="77777777" w:rsidR="006D56EE" w:rsidRPr="00D401FA" w:rsidRDefault="006D56EE" w:rsidP="00D401FA">
            <w:pPr>
              <w:spacing w:after="0" w:line="240" w:lineRule="auto"/>
              <w:jc w:val="both"/>
              <w:rPr>
                <w:rFonts w:ascii="Aptos" w:hAnsi="Aptos"/>
              </w:rPr>
            </w:pPr>
            <w:r w:rsidRPr="00D401FA">
              <w:rPr>
                <w:rFonts w:ascii="Aptos" w:hAnsi="Aptos"/>
              </w:rPr>
              <w:t>ODP</w:t>
            </w:r>
          </w:p>
        </w:tc>
        <w:tc>
          <w:tcPr>
            <w:tcW w:w="0" w:type="auto"/>
            <w:vAlign w:val="center"/>
            <w:hideMark/>
          </w:tcPr>
          <w:p w14:paraId="59E0C24B" w14:textId="77777777" w:rsidR="006D56EE" w:rsidRPr="00D401FA" w:rsidRDefault="006D56EE" w:rsidP="00D401FA">
            <w:pPr>
              <w:spacing w:after="0" w:line="240" w:lineRule="auto"/>
              <w:jc w:val="both"/>
              <w:rPr>
                <w:rFonts w:ascii="Aptos" w:hAnsi="Aptos"/>
              </w:rPr>
            </w:pPr>
            <w:r w:rsidRPr="00D401FA">
              <w:rPr>
                <w:rFonts w:ascii="Aptos" w:hAnsi="Aptos"/>
              </w:rPr>
              <w:t>Objectif de développement du programme</w:t>
            </w:r>
          </w:p>
        </w:tc>
      </w:tr>
      <w:tr w:rsidR="00367AF1" w:rsidRPr="00D401FA" w14:paraId="20461559" w14:textId="77777777" w:rsidTr="00D401FA">
        <w:trPr>
          <w:tblCellSpacing w:w="15" w:type="dxa"/>
        </w:trPr>
        <w:tc>
          <w:tcPr>
            <w:tcW w:w="1231" w:type="dxa"/>
            <w:vAlign w:val="center"/>
            <w:hideMark/>
          </w:tcPr>
          <w:p w14:paraId="47D2694C" w14:textId="77777777" w:rsidR="006D56EE" w:rsidRPr="00D401FA" w:rsidRDefault="006D56EE" w:rsidP="00D401FA">
            <w:pPr>
              <w:spacing w:after="0" w:line="240" w:lineRule="auto"/>
              <w:jc w:val="both"/>
              <w:rPr>
                <w:rFonts w:ascii="Aptos" w:hAnsi="Aptos"/>
              </w:rPr>
            </w:pPr>
            <w:r w:rsidRPr="00D401FA">
              <w:rPr>
                <w:rFonts w:ascii="Aptos" w:hAnsi="Aptos"/>
              </w:rPr>
              <w:t>CDP</w:t>
            </w:r>
          </w:p>
        </w:tc>
        <w:tc>
          <w:tcPr>
            <w:tcW w:w="0" w:type="auto"/>
            <w:vAlign w:val="center"/>
            <w:hideMark/>
          </w:tcPr>
          <w:p w14:paraId="6E1E6CF0" w14:textId="77777777" w:rsidR="006D56EE" w:rsidRPr="00D401FA" w:rsidRDefault="006D56EE" w:rsidP="00D401FA">
            <w:pPr>
              <w:spacing w:after="0" w:line="240" w:lineRule="auto"/>
              <w:jc w:val="both"/>
              <w:rPr>
                <w:rFonts w:ascii="Aptos" w:hAnsi="Aptos"/>
              </w:rPr>
            </w:pPr>
            <w:r w:rsidRPr="00D401FA">
              <w:rPr>
                <w:rFonts w:ascii="Aptos" w:hAnsi="Aptos"/>
              </w:rPr>
              <w:t>Cadre des dépenses du programme</w:t>
            </w:r>
          </w:p>
        </w:tc>
      </w:tr>
      <w:tr w:rsidR="00367AF1" w:rsidRPr="00D401FA" w14:paraId="0D218F07" w14:textId="77777777" w:rsidTr="00D401FA">
        <w:trPr>
          <w:tblCellSpacing w:w="15" w:type="dxa"/>
        </w:trPr>
        <w:tc>
          <w:tcPr>
            <w:tcW w:w="1231" w:type="dxa"/>
            <w:vAlign w:val="center"/>
            <w:hideMark/>
          </w:tcPr>
          <w:p w14:paraId="3BADA903" w14:textId="77777777" w:rsidR="006D56EE" w:rsidRPr="00D401FA" w:rsidRDefault="006D56EE" w:rsidP="00D401FA">
            <w:pPr>
              <w:spacing w:after="0" w:line="240" w:lineRule="auto"/>
              <w:jc w:val="both"/>
              <w:rPr>
                <w:rFonts w:ascii="Aptos" w:hAnsi="Aptos"/>
              </w:rPr>
            </w:pPr>
            <w:r w:rsidRPr="00D401FA">
              <w:rPr>
                <w:rFonts w:ascii="Aptos" w:hAnsi="Aptos"/>
              </w:rPr>
              <w:t>PEFA</w:t>
            </w:r>
          </w:p>
        </w:tc>
        <w:tc>
          <w:tcPr>
            <w:tcW w:w="0" w:type="auto"/>
            <w:vAlign w:val="center"/>
            <w:hideMark/>
          </w:tcPr>
          <w:p w14:paraId="10399BFA" w14:textId="77777777" w:rsidR="006D56EE" w:rsidRPr="00D401FA" w:rsidRDefault="006D56EE" w:rsidP="00D401FA">
            <w:pPr>
              <w:spacing w:after="0" w:line="240" w:lineRule="auto"/>
              <w:jc w:val="both"/>
              <w:rPr>
                <w:rFonts w:ascii="Aptos" w:hAnsi="Aptos"/>
              </w:rPr>
            </w:pPr>
            <w:r w:rsidRPr="00D401FA">
              <w:rPr>
                <w:rFonts w:ascii="Aptos" w:hAnsi="Aptos"/>
              </w:rPr>
              <w:t>Dépenses publiques et responsabilité financière</w:t>
            </w:r>
          </w:p>
        </w:tc>
      </w:tr>
      <w:tr w:rsidR="00367AF1" w:rsidRPr="00D401FA" w14:paraId="04AED4E4" w14:textId="77777777" w:rsidTr="00D401FA">
        <w:trPr>
          <w:tblCellSpacing w:w="15" w:type="dxa"/>
        </w:trPr>
        <w:tc>
          <w:tcPr>
            <w:tcW w:w="1231" w:type="dxa"/>
            <w:vAlign w:val="center"/>
            <w:hideMark/>
          </w:tcPr>
          <w:p w14:paraId="5B78C4C6" w14:textId="77777777" w:rsidR="006D56EE" w:rsidRPr="00D401FA" w:rsidRDefault="006D56EE" w:rsidP="00D401FA">
            <w:pPr>
              <w:spacing w:after="0" w:line="240" w:lineRule="auto"/>
              <w:jc w:val="both"/>
              <w:rPr>
                <w:rFonts w:ascii="Aptos" w:hAnsi="Aptos"/>
              </w:rPr>
            </w:pPr>
            <w:r w:rsidRPr="00D401FA">
              <w:rPr>
                <w:rFonts w:ascii="Aptos" w:hAnsi="Aptos"/>
              </w:rPr>
              <w:t>GFP</w:t>
            </w:r>
          </w:p>
        </w:tc>
        <w:tc>
          <w:tcPr>
            <w:tcW w:w="0" w:type="auto"/>
            <w:vAlign w:val="center"/>
            <w:hideMark/>
          </w:tcPr>
          <w:p w14:paraId="4321D9D7" w14:textId="77777777" w:rsidR="006D56EE" w:rsidRPr="00D401FA" w:rsidRDefault="006D56EE" w:rsidP="00D401FA">
            <w:pPr>
              <w:spacing w:after="0" w:line="240" w:lineRule="auto"/>
              <w:jc w:val="both"/>
              <w:rPr>
                <w:rFonts w:ascii="Aptos" w:hAnsi="Aptos"/>
              </w:rPr>
            </w:pPr>
            <w:r w:rsidRPr="00D401FA">
              <w:rPr>
                <w:rFonts w:ascii="Aptos" w:hAnsi="Aptos"/>
              </w:rPr>
              <w:t>Gestion des finances publiques</w:t>
            </w:r>
          </w:p>
        </w:tc>
      </w:tr>
      <w:tr w:rsidR="00367AF1" w:rsidRPr="00D401FA" w14:paraId="28A34D76" w14:textId="77777777" w:rsidTr="00D401FA">
        <w:trPr>
          <w:tblCellSpacing w:w="15" w:type="dxa"/>
        </w:trPr>
        <w:tc>
          <w:tcPr>
            <w:tcW w:w="1231" w:type="dxa"/>
            <w:vAlign w:val="center"/>
            <w:hideMark/>
          </w:tcPr>
          <w:p w14:paraId="4229E2C1" w14:textId="77777777" w:rsidR="006D56EE" w:rsidRPr="00D401FA" w:rsidRDefault="006D56EE" w:rsidP="00D401FA">
            <w:pPr>
              <w:spacing w:after="0" w:line="240" w:lineRule="auto"/>
              <w:jc w:val="both"/>
              <w:rPr>
                <w:rFonts w:ascii="Aptos" w:hAnsi="Aptos"/>
              </w:rPr>
            </w:pPr>
            <w:proofErr w:type="spellStart"/>
            <w:r w:rsidRPr="00D401FA">
              <w:rPr>
                <w:rFonts w:ascii="Aptos" w:hAnsi="Aptos"/>
              </w:rPr>
              <w:t>PforR</w:t>
            </w:r>
            <w:proofErr w:type="spellEnd"/>
          </w:p>
        </w:tc>
        <w:tc>
          <w:tcPr>
            <w:tcW w:w="0" w:type="auto"/>
            <w:vAlign w:val="center"/>
            <w:hideMark/>
          </w:tcPr>
          <w:p w14:paraId="5BECDB3B" w14:textId="77777777" w:rsidR="006D56EE" w:rsidRPr="00D401FA" w:rsidRDefault="006D56EE" w:rsidP="00D401FA">
            <w:pPr>
              <w:spacing w:after="0" w:line="240" w:lineRule="auto"/>
              <w:jc w:val="both"/>
              <w:rPr>
                <w:rFonts w:ascii="Aptos" w:hAnsi="Aptos"/>
              </w:rPr>
            </w:pPr>
            <w:r w:rsidRPr="00D401FA">
              <w:rPr>
                <w:rFonts w:ascii="Aptos" w:hAnsi="Aptos"/>
              </w:rPr>
              <w:t>Programme axé sur les résultats</w:t>
            </w:r>
          </w:p>
        </w:tc>
      </w:tr>
      <w:tr w:rsidR="00367AF1" w:rsidRPr="00D401FA" w14:paraId="31BD50A8" w14:textId="77777777" w:rsidTr="00D401FA">
        <w:trPr>
          <w:tblCellSpacing w:w="15" w:type="dxa"/>
        </w:trPr>
        <w:tc>
          <w:tcPr>
            <w:tcW w:w="1231" w:type="dxa"/>
            <w:vAlign w:val="center"/>
            <w:hideMark/>
          </w:tcPr>
          <w:p w14:paraId="1BDF7858" w14:textId="77777777" w:rsidR="006D56EE" w:rsidRPr="00D401FA" w:rsidRDefault="006D56EE" w:rsidP="00D401FA">
            <w:pPr>
              <w:spacing w:after="0" w:line="240" w:lineRule="auto"/>
              <w:jc w:val="both"/>
              <w:rPr>
                <w:rFonts w:ascii="Aptos" w:hAnsi="Aptos"/>
              </w:rPr>
            </w:pPr>
            <w:r w:rsidRPr="00D401FA">
              <w:rPr>
                <w:rFonts w:ascii="Aptos" w:hAnsi="Aptos"/>
              </w:rPr>
              <w:t>GIP</w:t>
            </w:r>
          </w:p>
        </w:tc>
        <w:tc>
          <w:tcPr>
            <w:tcW w:w="0" w:type="auto"/>
            <w:vAlign w:val="center"/>
            <w:hideMark/>
          </w:tcPr>
          <w:p w14:paraId="67187E97" w14:textId="77777777" w:rsidR="006D56EE" w:rsidRPr="00D401FA" w:rsidRDefault="006D56EE" w:rsidP="00D401FA">
            <w:pPr>
              <w:spacing w:after="0" w:line="240" w:lineRule="auto"/>
              <w:jc w:val="both"/>
              <w:rPr>
                <w:rFonts w:ascii="Aptos" w:hAnsi="Aptos"/>
              </w:rPr>
            </w:pPr>
            <w:r w:rsidRPr="00D401FA">
              <w:rPr>
                <w:rFonts w:ascii="Aptos" w:hAnsi="Aptos"/>
              </w:rPr>
              <w:t>Gestion des investissements publics</w:t>
            </w:r>
          </w:p>
        </w:tc>
      </w:tr>
      <w:tr w:rsidR="00367AF1" w:rsidRPr="00D401FA" w14:paraId="129F4A45" w14:textId="77777777" w:rsidTr="00D401FA">
        <w:trPr>
          <w:tblCellSpacing w:w="15" w:type="dxa"/>
        </w:trPr>
        <w:tc>
          <w:tcPr>
            <w:tcW w:w="1231" w:type="dxa"/>
            <w:vAlign w:val="center"/>
            <w:hideMark/>
          </w:tcPr>
          <w:p w14:paraId="46CC02CA" w14:textId="77777777" w:rsidR="006D56EE" w:rsidRPr="00D401FA" w:rsidRDefault="006D56EE" w:rsidP="00D401FA">
            <w:pPr>
              <w:spacing w:after="0" w:line="240" w:lineRule="auto"/>
              <w:jc w:val="both"/>
              <w:rPr>
                <w:rFonts w:ascii="Aptos" w:hAnsi="Aptos"/>
              </w:rPr>
            </w:pPr>
            <w:r w:rsidRPr="00D401FA">
              <w:rPr>
                <w:rFonts w:ascii="Aptos" w:hAnsi="Aptos"/>
              </w:rPr>
              <w:t>PIP</w:t>
            </w:r>
          </w:p>
        </w:tc>
        <w:tc>
          <w:tcPr>
            <w:tcW w:w="0" w:type="auto"/>
            <w:vAlign w:val="center"/>
            <w:hideMark/>
          </w:tcPr>
          <w:p w14:paraId="1B93DD58" w14:textId="77777777" w:rsidR="006D56EE" w:rsidRPr="00D401FA" w:rsidRDefault="006D56EE" w:rsidP="00D401FA">
            <w:pPr>
              <w:spacing w:after="0" w:line="240" w:lineRule="auto"/>
              <w:jc w:val="both"/>
              <w:rPr>
                <w:rFonts w:ascii="Aptos" w:hAnsi="Aptos"/>
              </w:rPr>
            </w:pPr>
            <w:r w:rsidRPr="00D401FA">
              <w:rPr>
                <w:rFonts w:ascii="Aptos" w:hAnsi="Aptos"/>
              </w:rPr>
              <w:t>Programme d’investissement public</w:t>
            </w:r>
          </w:p>
        </w:tc>
      </w:tr>
      <w:tr w:rsidR="00367AF1" w:rsidRPr="00D401FA" w14:paraId="289CDA88" w14:textId="77777777" w:rsidTr="00D401FA">
        <w:trPr>
          <w:tblCellSpacing w:w="15" w:type="dxa"/>
        </w:trPr>
        <w:tc>
          <w:tcPr>
            <w:tcW w:w="1231" w:type="dxa"/>
            <w:vAlign w:val="center"/>
            <w:hideMark/>
          </w:tcPr>
          <w:p w14:paraId="03F0EF9E" w14:textId="77777777" w:rsidR="006D56EE" w:rsidRPr="00D401FA" w:rsidRDefault="006D56EE" w:rsidP="00D401FA">
            <w:pPr>
              <w:spacing w:after="0" w:line="240" w:lineRule="auto"/>
              <w:jc w:val="both"/>
              <w:rPr>
                <w:rFonts w:ascii="Aptos" w:hAnsi="Aptos"/>
              </w:rPr>
            </w:pPr>
            <w:r w:rsidRPr="00D401FA">
              <w:rPr>
                <w:rFonts w:ascii="Aptos" w:hAnsi="Aptos"/>
              </w:rPr>
              <w:t>UEP</w:t>
            </w:r>
          </w:p>
        </w:tc>
        <w:tc>
          <w:tcPr>
            <w:tcW w:w="0" w:type="auto"/>
            <w:vAlign w:val="center"/>
            <w:hideMark/>
          </w:tcPr>
          <w:p w14:paraId="4D253CDD" w14:textId="77777777" w:rsidR="006D56EE" w:rsidRPr="00D401FA" w:rsidRDefault="006D56EE" w:rsidP="00D401FA">
            <w:pPr>
              <w:spacing w:after="0" w:line="240" w:lineRule="auto"/>
              <w:jc w:val="both"/>
              <w:rPr>
                <w:rFonts w:ascii="Aptos" w:hAnsi="Aptos"/>
              </w:rPr>
            </w:pPr>
            <w:r w:rsidRPr="00D401FA">
              <w:rPr>
                <w:rFonts w:ascii="Aptos" w:hAnsi="Aptos"/>
              </w:rPr>
              <w:t>Unité d’exécution du projet</w:t>
            </w:r>
          </w:p>
        </w:tc>
      </w:tr>
      <w:tr w:rsidR="00367AF1" w:rsidRPr="00D401FA" w14:paraId="1AF7BCDB" w14:textId="77777777" w:rsidTr="00D401FA">
        <w:trPr>
          <w:tblCellSpacing w:w="15" w:type="dxa"/>
        </w:trPr>
        <w:tc>
          <w:tcPr>
            <w:tcW w:w="1231" w:type="dxa"/>
            <w:vAlign w:val="center"/>
            <w:hideMark/>
          </w:tcPr>
          <w:p w14:paraId="24784AA1" w14:textId="77777777" w:rsidR="006D56EE" w:rsidRPr="00D401FA" w:rsidRDefault="006D56EE" w:rsidP="00D401FA">
            <w:pPr>
              <w:spacing w:after="0" w:line="240" w:lineRule="auto"/>
              <w:jc w:val="both"/>
              <w:rPr>
                <w:rFonts w:ascii="Aptos" w:hAnsi="Aptos"/>
              </w:rPr>
            </w:pPr>
            <w:r w:rsidRPr="00D401FA">
              <w:rPr>
                <w:rFonts w:ascii="Aptos" w:hAnsi="Aptos"/>
              </w:rPr>
              <w:t>PPSA</w:t>
            </w:r>
          </w:p>
        </w:tc>
        <w:tc>
          <w:tcPr>
            <w:tcW w:w="0" w:type="auto"/>
            <w:vAlign w:val="center"/>
            <w:hideMark/>
          </w:tcPr>
          <w:p w14:paraId="35D3D74F" w14:textId="77777777" w:rsidR="006D56EE" w:rsidRPr="00D401FA" w:rsidRDefault="006D56EE" w:rsidP="00D401FA">
            <w:pPr>
              <w:spacing w:after="0" w:line="240" w:lineRule="auto"/>
              <w:jc w:val="both"/>
              <w:rPr>
                <w:rFonts w:ascii="Aptos" w:hAnsi="Aptos"/>
              </w:rPr>
            </w:pPr>
            <w:r w:rsidRPr="00D401FA">
              <w:rPr>
                <w:rFonts w:ascii="Aptos" w:hAnsi="Aptos"/>
              </w:rPr>
              <w:t>Plan prioritaire de soutien aux apprentissages</w:t>
            </w:r>
          </w:p>
        </w:tc>
      </w:tr>
      <w:tr w:rsidR="00367AF1" w:rsidRPr="00D401FA" w14:paraId="28589D8E" w14:textId="77777777" w:rsidTr="00D401FA">
        <w:trPr>
          <w:tblCellSpacing w:w="15" w:type="dxa"/>
        </w:trPr>
        <w:tc>
          <w:tcPr>
            <w:tcW w:w="1231" w:type="dxa"/>
            <w:vAlign w:val="center"/>
            <w:hideMark/>
          </w:tcPr>
          <w:p w14:paraId="2D14D827" w14:textId="77777777" w:rsidR="006D56EE" w:rsidRPr="00D401FA" w:rsidRDefault="006D56EE" w:rsidP="00D401FA">
            <w:pPr>
              <w:spacing w:after="0" w:line="240" w:lineRule="auto"/>
              <w:jc w:val="both"/>
              <w:rPr>
                <w:rFonts w:ascii="Aptos" w:hAnsi="Aptos"/>
              </w:rPr>
            </w:pPr>
            <w:r w:rsidRPr="00D401FA">
              <w:rPr>
                <w:rFonts w:ascii="Aptos" w:hAnsi="Aptos"/>
              </w:rPr>
              <w:t>RESEN</w:t>
            </w:r>
          </w:p>
        </w:tc>
        <w:tc>
          <w:tcPr>
            <w:tcW w:w="0" w:type="auto"/>
            <w:vAlign w:val="center"/>
            <w:hideMark/>
          </w:tcPr>
          <w:p w14:paraId="13B52BA9" w14:textId="77777777" w:rsidR="006D56EE" w:rsidRPr="00D401FA" w:rsidRDefault="006D56EE" w:rsidP="00D401FA">
            <w:pPr>
              <w:spacing w:after="0" w:line="240" w:lineRule="auto"/>
              <w:jc w:val="both"/>
              <w:rPr>
                <w:rFonts w:ascii="Aptos" w:hAnsi="Aptos"/>
              </w:rPr>
            </w:pPr>
            <w:r w:rsidRPr="00D401FA">
              <w:rPr>
                <w:rFonts w:ascii="Aptos" w:hAnsi="Aptos"/>
              </w:rPr>
              <w:t>Rapport d’état du système éducatif national</w:t>
            </w:r>
          </w:p>
        </w:tc>
      </w:tr>
      <w:tr w:rsidR="00367AF1" w:rsidRPr="00D401FA" w14:paraId="1E34EA73" w14:textId="77777777" w:rsidTr="00D401FA">
        <w:trPr>
          <w:tblCellSpacing w:w="15" w:type="dxa"/>
        </w:trPr>
        <w:tc>
          <w:tcPr>
            <w:tcW w:w="1231" w:type="dxa"/>
            <w:vAlign w:val="center"/>
            <w:hideMark/>
          </w:tcPr>
          <w:p w14:paraId="6AA11C09" w14:textId="77777777" w:rsidR="006D56EE" w:rsidRPr="00D401FA" w:rsidRDefault="006D56EE" w:rsidP="00D401FA">
            <w:pPr>
              <w:spacing w:after="0" w:line="240" w:lineRule="auto"/>
              <w:jc w:val="both"/>
              <w:rPr>
                <w:rFonts w:ascii="Aptos" w:hAnsi="Aptos"/>
              </w:rPr>
            </w:pPr>
            <w:r w:rsidRPr="00D401FA">
              <w:rPr>
                <w:rFonts w:ascii="Aptos" w:hAnsi="Aptos"/>
              </w:rPr>
              <w:t>PMPP</w:t>
            </w:r>
          </w:p>
        </w:tc>
        <w:tc>
          <w:tcPr>
            <w:tcW w:w="0" w:type="auto"/>
            <w:vAlign w:val="center"/>
            <w:hideMark/>
          </w:tcPr>
          <w:p w14:paraId="41BD821A" w14:textId="77777777" w:rsidR="006D56EE" w:rsidRPr="00D401FA" w:rsidRDefault="006D56EE" w:rsidP="00D401FA">
            <w:pPr>
              <w:spacing w:after="0" w:line="240" w:lineRule="auto"/>
              <w:jc w:val="both"/>
              <w:rPr>
                <w:rFonts w:ascii="Aptos" w:hAnsi="Aptos"/>
              </w:rPr>
            </w:pPr>
            <w:r w:rsidRPr="00D401FA">
              <w:rPr>
                <w:rFonts w:ascii="Aptos" w:hAnsi="Aptos"/>
              </w:rPr>
              <w:t>Plan de mobilisation des parties prenantes</w:t>
            </w:r>
          </w:p>
        </w:tc>
      </w:tr>
      <w:tr w:rsidR="00367AF1" w:rsidRPr="00D401FA" w14:paraId="261C19F4" w14:textId="77777777" w:rsidTr="00D401FA">
        <w:trPr>
          <w:tblCellSpacing w:w="15" w:type="dxa"/>
        </w:trPr>
        <w:tc>
          <w:tcPr>
            <w:tcW w:w="1231" w:type="dxa"/>
            <w:vAlign w:val="center"/>
            <w:hideMark/>
          </w:tcPr>
          <w:p w14:paraId="6F1310CC" w14:textId="77777777" w:rsidR="006D56EE" w:rsidRPr="00D401FA" w:rsidRDefault="006D56EE" w:rsidP="00D401FA">
            <w:pPr>
              <w:spacing w:after="0" w:line="240" w:lineRule="auto"/>
              <w:jc w:val="both"/>
              <w:rPr>
                <w:rFonts w:ascii="Aptos" w:hAnsi="Aptos"/>
              </w:rPr>
            </w:pPr>
            <w:r w:rsidRPr="00D401FA">
              <w:rPr>
                <w:rFonts w:ascii="Aptos" w:hAnsi="Aptos"/>
              </w:rPr>
              <w:t>SDI</w:t>
            </w:r>
          </w:p>
        </w:tc>
        <w:tc>
          <w:tcPr>
            <w:tcW w:w="0" w:type="auto"/>
            <w:vAlign w:val="center"/>
            <w:hideMark/>
          </w:tcPr>
          <w:p w14:paraId="497845D7" w14:textId="77777777" w:rsidR="006D56EE" w:rsidRPr="00D401FA" w:rsidRDefault="006D56EE" w:rsidP="00D401FA">
            <w:pPr>
              <w:spacing w:after="0" w:line="240" w:lineRule="auto"/>
              <w:jc w:val="both"/>
              <w:rPr>
                <w:rFonts w:ascii="Aptos" w:hAnsi="Aptos"/>
              </w:rPr>
            </w:pPr>
            <w:r w:rsidRPr="00D401FA">
              <w:rPr>
                <w:rFonts w:ascii="Aptos" w:hAnsi="Aptos"/>
              </w:rPr>
              <w:t>Indicateurs de prestation de services</w:t>
            </w:r>
          </w:p>
        </w:tc>
      </w:tr>
      <w:tr w:rsidR="00367AF1" w:rsidRPr="00D401FA" w14:paraId="29B761FF" w14:textId="77777777" w:rsidTr="00D401FA">
        <w:trPr>
          <w:tblCellSpacing w:w="15" w:type="dxa"/>
        </w:trPr>
        <w:tc>
          <w:tcPr>
            <w:tcW w:w="1231" w:type="dxa"/>
            <w:vAlign w:val="center"/>
            <w:hideMark/>
          </w:tcPr>
          <w:p w14:paraId="1F1C7F1B" w14:textId="3645A2EE" w:rsidR="006D56EE" w:rsidRPr="00D401FA" w:rsidRDefault="00D401FA" w:rsidP="00D401FA">
            <w:pPr>
              <w:spacing w:after="0" w:line="240" w:lineRule="auto"/>
              <w:jc w:val="both"/>
              <w:rPr>
                <w:rFonts w:ascii="Aptos" w:hAnsi="Aptos"/>
              </w:rPr>
            </w:pPr>
            <w:r w:rsidRPr="00D401FA">
              <w:rPr>
                <w:rFonts w:ascii="Aptos" w:hAnsi="Aptos"/>
              </w:rPr>
              <w:t>LBES</w:t>
            </w:r>
          </w:p>
        </w:tc>
        <w:tc>
          <w:tcPr>
            <w:tcW w:w="0" w:type="auto"/>
            <w:vAlign w:val="center"/>
            <w:hideMark/>
          </w:tcPr>
          <w:p w14:paraId="23450401" w14:textId="77777777" w:rsidR="006D56EE" w:rsidRPr="00D401FA" w:rsidRDefault="006D56EE" w:rsidP="00D401FA">
            <w:pPr>
              <w:spacing w:after="0" w:line="240" w:lineRule="auto"/>
              <w:jc w:val="both"/>
              <w:rPr>
                <w:rFonts w:ascii="Aptos" w:hAnsi="Aptos"/>
              </w:rPr>
            </w:pPr>
            <w:r w:rsidRPr="00D401FA">
              <w:rPr>
                <w:rFonts w:ascii="Aptos" w:hAnsi="Aptos"/>
              </w:rPr>
              <w:t>Livre blanc sur l’éducation au Sahel</w:t>
            </w:r>
          </w:p>
        </w:tc>
      </w:tr>
      <w:tr w:rsidR="00367AF1" w:rsidRPr="00D401FA" w14:paraId="0EF6FF7F" w14:textId="77777777" w:rsidTr="00D401FA">
        <w:trPr>
          <w:tblCellSpacing w:w="15" w:type="dxa"/>
        </w:trPr>
        <w:tc>
          <w:tcPr>
            <w:tcW w:w="1231" w:type="dxa"/>
            <w:vAlign w:val="center"/>
            <w:hideMark/>
          </w:tcPr>
          <w:p w14:paraId="7B373FFC" w14:textId="77777777" w:rsidR="006D56EE" w:rsidRPr="00D401FA" w:rsidRDefault="006D56EE" w:rsidP="00D401FA">
            <w:pPr>
              <w:spacing w:after="0" w:line="240" w:lineRule="auto"/>
              <w:jc w:val="both"/>
              <w:rPr>
                <w:rFonts w:ascii="Aptos" w:hAnsi="Aptos"/>
              </w:rPr>
            </w:pPr>
            <w:r w:rsidRPr="00D401FA">
              <w:rPr>
                <w:rFonts w:ascii="Aptos" w:hAnsi="Aptos"/>
              </w:rPr>
              <w:t>COGES</w:t>
            </w:r>
          </w:p>
        </w:tc>
        <w:tc>
          <w:tcPr>
            <w:tcW w:w="0" w:type="auto"/>
            <w:vAlign w:val="center"/>
            <w:hideMark/>
          </w:tcPr>
          <w:p w14:paraId="119EAA46" w14:textId="77777777" w:rsidR="006D56EE" w:rsidRPr="00D401FA" w:rsidRDefault="006D56EE" w:rsidP="00D401FA">
            <w:pPr>
              <w:spacing w:after="0" w:line="240" w:lineRule="auto"/>
              <w:jc w:val="both"/>
              <w:rPr>
                <w:rFonts w:ascii="Aptos" w:hAnsi="Aptos"/>
              </w:rPr>
            </w:pPr>
            <w:r w:rsidRPr="00D401FA">
              <w:rPr>
                <w:rFonts w:ascii="Aptos" w:hAnsi="Aptos"/>
              </w:rPr>
              <w:t>Comité de gestion scolaire</w:t>
            </w:r>
          </w:p>
        </w:tc>
      </w:tr>
      <w:tr w:rsidR="00367AF1" w:rsidRPr="00D401FA" w14:paraId="4E11DC32" w14:textId="77777777" w:rsidTr="00D401FA">
        <w:trPr>
          <w:tblCellSpacing w:w="15" w:type="dxa"/>
        </w:trPr>
        <w:tc>
          <w:tcPr>
            <w:tcW w:w="1231" w:type="dxa"/>
            <w:vAlign w:val="center"/>
            <w:hideMark/>
          </w:tcPr>
          <w:p w14:paraId="34B46A3A" w14:textId="77777777" w:rsidR="006D56EE" w:rsidRPr="00D401FA" w:rsidRDefault="006D56EE" w:rsidP="00D401FA">
            <w:pPr>
              <w:spacing w:after="0" w:line="240" w:lineRule="auto"/>
              <w:jc w:val="both"/>
              <w:rPr>
                <w:rFonts w:ascii="Aptos" w:hAnsi="Aptos"/>
              </w:rPr>
            </w:pPr>
            <w:r w:rsidRPr="00D401FA">
              <w:rPr>
                <w:rFonts w:ascii="Aptos" w:hAnsi="Aptos"/>
              </w:rPr>
              <w:t>STEM</w:t>
            </w:r>
          </w:p>
        </w:tc>
        <w:tc>
          <w:tcPr>
            <w:tcW w:w="0" w:type="auto"/>
            <w:vAlign w:val="center"/>
            <w:hideMark/>
          </w:tcPr>
          <w:p w14:paraId="085C0AAA" w14:textId="77777777" w:rsidR="006D56EE" w:rsidRPr="00D401FA" w:rsidRDefault="006D56EE" w:rsidP="00D401FA">
            <w:pPr>
              <w:spacing w:after="0" w:line="240" w:lineRule="auto"/>
              <w:jc w:val="both"/>
              <w:rPr>
                <w:rFonts w:ascii="Aptos" w:hAnsi="Aptos"/>
              </w:rPr>
            </w:pPr>
            <w:r w:rsidRPr="00D401FA">
              <w:rPr>
                <w:rFonts w:ascii="Aptos" w:hAnsi="Aptos"/>
              </w:rPr>
              <w:t>Sciences, technologie, ingénierie et mathématiques</w:t>
            </w:r>
          </w:p>
        </w:tc>
      </w:tr>
      <w:tr w:rsidR="00367AF1" w:rsidRPr="00D401FA" w14:paraId="1F735ADA" w14:textId="77777777" w:rsidTr="00D401FA">
        <w:trPr>
          <w:tblCellSpacing w:w="15" w:type="dxa"/>
        </w:trPr>
        <w:tc>
          <w:tcPr>
            <w:tcW w:w="1231" w:type="dxa"/>
            <w:vAlign w:val="center"/>
            <w:hideMark/>
          </w:tcPr>
          <w:p w14:paraId="1E394C19" w14:textId="77777777" w:rsidR="006D56EE" w:rsidRPr="00D401FA" w:rsidRDefault="006D56EE" w:rsidP="00D401FA">
            <w:pPr>
              <w:spacing w:after="0" w:line="240" w:lineRule="auto"/>
              <w:jc w:val="both"/>
              <w:rPr>
                <w:rFonts w:ascii="Aptos" w:hAnsi="Aptos"/>
              </w:rPr>
            </w:pPr>
            <w:r w:rsidRPr="00D401FA">
              <w:rPr>
                <w:rFonts w:ascii="Aptos" w:hAnsi="Aptos"/>
              </w:rPr>
              <w:t>STG</w:t>
            </w:r>
          </w:p>
        </w:tc>
        <w:tc>
          <w:tcPr>
            <w:tcW w:w="0" w:type="auto"/>
            <w:vAlign w:val="center"/>
            <w:hideMark/>
          </w:tcPr>
          <w:p w14:paraId="17291E12" w14:textId="77777777" w:rsidR="006D56EE" w:rsidRPr="00D401FA" w:rsidRDefault="006D56EE" w:rsidP="00D401FA">
            <w:pPr>
              <w:spacing w:after="0" w:line="240" w:lineRule="auto"/>
              <w:jc w:val="both"/>
              <w:rPr>
                <w:rFonts w:ascii="Aptos" w:hAnsi="Aptos"/>
              </w:rPr>
            </w:pPr>
            <w:r w:rsidRPr="00D401FA">
              <w:rPr>
                <w:rFonts w:ascii="Aptos" w:hAnsi="Aptos"/>
              </w:rPr>
              <w:t>Financement pour la transformation du système</w:t>
            </w:r>
          </w:p>
        </w:tc>
      </w:tr>
      <w:tr w:rsidR="00367AF1" w:rsidRPr="00D401FA" w14:paraId="6B22DFD3" w14:textId="77777777" w:rsidTr="00D401FA">
        <w:trPr>
          <w:tblCellSpacing w:w="15" w:type="dxa"/>
        </w:trPr>
        <w:tc>
          <w:tcPr>
            <w:tcW w:w="1231" w:type="dxa"/>
            <w:vAlign w:val="center"/>
            <w:hideMark/>
          </w:tcPr>
          <w:p w14:paraId="27712D85" w14:textId="77777777" w:rsidR="006D56EE" w:rsidRPr="00D401FA" w:rsidRDefault="006D56EE" w:rsidP="00D401FA">
            <w:pPr>
              <w:spacing w:after="0" w:line="240" w:lineRule="auto"/>
              <w:jc w:val="both"/>
              <w:rPr>
                <w:rFonts w:ascii="Aptos" w:hAnsi="Aptos"/>
              </w:rPr>
            </w:pPr>
            <w:r w:rsidRPr="00D401FA">
              <w:rPr>
                <w:rFonts w:ascii="Aptos" w:hAnsi="Aptos"/>
              </w:rPr>
              <w:t>AT</w:t>
            </w:r>
          </w:p>
        </w:tc>
        <w:tc>
          <w:tcPr>
            <w:tcW w:w="0" w:type="auto"/>
            <w:vAlign w:val="center"/>
            <w:hideMark/>
          </w:tcPr>
          <w:p w14:paraId="3BEC165E" w14:textId="77777777" w:rsidR="006D56EE" w:rsidRPr="00D401FA" w:rsidRDefault="006D56EE" w:rsidP="00D401FA">
            <w:pPr>
              <w:spacing w:after="0" w:line="240" w:lineRule="auto"/>
              <w:jc w:val="both"/>
              <w:rPr>
                <w:rFonts w:ascii="Aptos" w:hAnsi="Aptos"/>
              </w:rPr>
            </w:pPr>
            <w:r w:rsidRPr="00D401FA">
              <w:rPr>
                <w:rFonts w:ascii="Aptos" w:hAnsi="Aptos"/>
              </w:rPr>
              <w:t>Assistance technique</w:t>
            </w:r>
          </w:p>
        </w:tc>
      </w:tr>
      <w:tr w:rsidR="00367AF1" w:rsidRPr="00D401FA" w14:paraId="4BFC3317" w14:textId="77777777" w:rsidTr="00D401FA">
        <w:trPr>
          <w:tblCellSpacing w:w="15" w:type="dxa"/>
        </w:trPr>
        <w:tc>
          <w:tcPr>
            <w:tcW w:w="1231" w:type="dxa"/>
            <w:vAlign w:val="center"/>
            <w:hideMark/>
          </w:tcPr>
          <w:p w14:paraId="33F18D07" w14:textId="77777777" w:rsidR="006D56EE" w:rsidRPr="00D401FA" w:rsidRDefault="006D56EE" w:rsidP="00D401FA">
            <w:pPr>
              <w:spacing w:after="0" w:line="240" w:lineRule="auto"/>
              <w:jc w:val="both"/>
              <w:rPr>
                <w:rFonts w:ascii="Aptos" w:hAnsi="Aptos"/>
              </w:rPr>
            </w:pPr>
            <w:r w:rsidRPr="00D401FA">
              <w:rPr>
                <w:rFonts w:ascii="Aptos" w:hAnsi="Aptos"/>
              </w:rPr>
              <w:t>UNICEF</w:t>
            </w:r>
          </w:p>
        </w:tc>
        <w:tc>
          <w:tcPr>
            <w:tcW w:w="0" w:type="auto"/>
            <w:vAlign w:val="center"/>
            <w:hideMark/>
          </w:tcPr>
          <w:p w14:paraId="54BC0442" w14:textId="77777777" w:rsidR="006D56EE" w:rsidRPr="00D401FA" w:rsidRDefault="006D56EE" w:rsidP="00D401FA">
            <w:pPr>
              <w:spacing w:after="0" w:line="240" w:lineRule="auto"/>
              <w:jc w:val="both"/>
              <w:rPr>
                <w:rFonts w:ascii="Aptos" w:hAnsi="Aptos"/>
              </w:rPr>
            </w:pPr>
            <w:r w:rsidRPr="00D401FA">
              <w:rPr>
                <w:rFonts w:ascii="Aptos" w:hAnsi="Aptos"/>
              </w:rPr>
              <w:t>Fonds des Nations Unies pour l’enfance</w:t>
            </w:r>
          </w:p>
        </w:tc>
      </w:tr>
    </w:tbl>
    <w:p w14:paraId="1A3A9D11" w14:textId="405C4C2C" w:rsidR="00EB0BDE" w:rsidRPr="00D401FA" w:rsidRDefault="00EB0BDE" w:rsidP="00D401FA">
      <w:pPr>
        <w:spacing w:line="240" w:lineRule="auto"/>
        <w:jc w:val="both"/>
        <w:rPr>
          <w:rFonts w:ascii="Aptos" w:hAnsi="Aptos"/>
        </w:rPr>
      </w:pPr>
    </w:p>
    <w:p w14:paraId="2FE31D56" w14:textId="77777777" w:rsidR="00EB0BDE" w:rsidRPr="00D401FA" w:rsidRDefault="00EB0BDE" w:rsidP="00216CAF">
      <w:pPr>
        <w:jc w:val="both"/>
        <w:rPr>
          <w:rFonts w:ascii="Aptos" w:hAnsi="Aptos"/>
        </w:rPr>
      </w:pPr>
      <w:r w:rsidRPr="00D401FA">
        <w:rPr>
          <w:rFonts w:ascii="Aptos" w:hAnsi="Aptos"/>
        </w:rPr>
        <w:br w:type="page"/>
      </w:r>
    </w:p>
    <w:p w14:paraId="1D4DD6B3" w14:textId="77777777" w:rsidR="00EB0BDE" w:rsidRPr="00D401FA" w:rsidRDefault="00EB0BDE" w:rsidP="00D401FA">
      <w:pPr>
        <w:ind w:left="567"/>
        <w:rPr>
          <w:rFonts w:ascii="Aptos" w:hAnsi="Aptos"/>
          <w:b/>
          <w:bCs/>
          <w:sz w:val="24"/>
          <w:szCs w:val="24"/>
        </w:rPr>
      </w:pPr>
      <w:r w:rsidRPr="00D401FA">
        <w:rPr>
          <w:rFonts w:ascii="Aptos" w:hAnsi="Aptos"/>
          <w:b/>
          <w:bCs/>
          <w:sz w:val="24"/>
          <w:szCs w:val="24"/>
        </w:rPr>
        <w:lastRenderedPageBreak/>
        <w:t>Introduction</w:t>
      </w:r>
    </w:p>
    <w:p w14:paraId="4E325762" w14:textId="79C091E9" w:rsidR="00EB0BDE" w:rsidRPr="00D401FA" w:rsidRDefault="00EB0BDE" w:rsidP="00216CAF">
      <w:pPr>
        <w:jc w:val="both"/>
        <w:rPr>
          <w:rFonts w:ascii="Aptos" w:hAnsi="Aptos"/>
        </w:rPr>
      </w:pPr>
      <w:r w:rsidRPr="00D401FA">
        <w:rPr>
          <w:rFonts w:ascii="Aptos" w:hAnsi="Aptos"/>
        </w:rPr>
        <w:t xml:space="preserve">L’évaluation des systèmes environnementaux et sociaux (ESES) porte sur les systèmes de gestion environnementale et sociale du programme IQRAA </w:t>
      </w:r>
      <w:r w:rsidR="008A6114">
        <w:rPr>
          <w:rFonts w:ascii="Aptos" w:hAnsi="Aptos"/>
        </w:rPr>
        <w:t xml:space="preserve">et a pour objectif </w:t>
      </w:r>
      <w:r w:rsidRPr="00D401FA">
        <w:rPr>
          <w:rFonts w:ascii="Aptos" w:hAnsi="Aptos"/>
        </w:rPr>
        <w:t xml:space="preserve">d’évaluer leur conformité aux dispositions de la politique de la Banque aux </w:t>
      </w:r>
      <w:proofErr w:type="spellStart"/>
      <w:r w:rsidRPr="00D401FA">
        <w:rPr>
          <w:rFonts w:ascii="Aptos" w:hAnsi="Aptos"/>
        </w:rPr>
        <w:t>PforR</w:t>
      </w:r>
      <w:proofErr w:type="spellEnd"/>
      <w:r w:rsidRPr="00D401FA">
        <w:rPr>
          <w:rFonts w:ascii="Aptos" w:hAnsi="Aptos"/>
        </w:rPr>
        <w:t xml:space="preserve">. </w:t>
      </w:r>
      <w:r w:rsidR="008A6114">
        <w:rPr>
          <w:rFonts w:ascii="Aptos" w:hAnsi="Aptos"/>
        </w:rPr>
        <w:t xml:space="preserve">Il s’agit </w:t>
      </w:r>
      <w:r w:rsidRPr="00D401FA">
        <w:rPr>
          <w:rFonts w:ascii="Aptos" w:hAnsi="Aptos"/>
        </w:rPr>
        <w:t>de s’assurer que le Programme ne comporte pas de risques environnementaux et sociaux importants et que les systèmes en place permettent de cerner et de gérer les risques potentiels. Plus précisément, l’ESES identifie et analyse les éventuels écarts entre les systèmes nationaux et les principes de base du programme, et recommande des actions d’amélioration pour assurer la conformité des systèmes de gestion environnementale et sociale aux exigences de la Banque.</w:t>
      </w:r>
    </w:p>
    <w:p w14:paraId="7C4F39F1" w14:textId="77777777" w:rsidR="00EB0BDE" w:rsidRPr="00D401FA" w:rsidRDefault="00EB0BDE" w:rsidP="00216CAF">
      <w:pPr>
        <w:jc w:val="both"/>
        <w:rPr>
          <w:rFonts w:ascii="Aptos" w:hAnsi="Aptos"/>
        </w:rPr>
      </w:pPr>
      <w:r w:rsidRPr="00D401FA">
        <w:rPr>
          <w:rFonts w:ascii="Aptos" w:hAnsi="Aptos"/>
        </w:rPr>
        <w:t xml:space="preserve">Contrairement aux projets d’investissement classiques (IPF), les </w:t>
      </w:r>
      <w:proofErr w:type="spellStart"/>
      <w:r w:rsidRPr="00D401FA">
        <w:rPr>
          <w:rFonts w:ascii="Aptos" w:hAnsi="Aptos"/>
        </w:rPr>
        <w:t>PforR</w:t>
      </w:r>
      <w:proofErr w:type="spellEnd"/>
      <w:r w:rsidRPr="00D401FA">
        <w:rPr>
          <w:rFonts w:ascii="Aptos" w:hAnsi="Aptos"/>
        </w:rPr>
        <w:t xml:space="preserve"> appuient un programme gouvernemental en mettant l’accent sur les objectifs suivants : (i) financer les dépenses spécifiques du programme de l’Emprunteur ; (ii) lier directement les décaissements de fonds à la réalisation de résultats spécifiques ; (iii) renforcer les systèmes pour garantir une utilisation appropriée des fonds tout en tenant dûment compte des impacts environnementaux et sociaux du programme ; et (iv) renforcer les capacités institutionnelles pour garantir la réalisation des résultats attendus.</w:t>
      </w:r>
    </w:p>
    <w:p w14:paraId="066ECF9C" w14:textId="77777777" w:rsidR="00EB0BDE" w:rsidRPr="00D401FA" w:rsidRDefault="00EB0BDE" w:rsidP="00216CAF">
      <w:pPr>
        <w:jc w:val="both"/>
        <w:rPr>
          <w:rFonts w:ascii="Aptos" w:hAnsi="Aptos"/>
        </w:rPr>
      </w:pPr>
      <w:r w:rsidRPr="00D401FA">
        <w:rPr>
          <w:rFonts w:ascii="Aptos" w:hAnsi="Aptos"/>
        </w:rPr>
        <w:t>L’équipe de la Banque mondiale est responsable de la préparation de l’ESES, tandis que le client (contrepartie mauritanienne) est responsable de l’évaluation des impacts associés aux activités (sous-projets) financées par le programme.</w:t>
      </w:r>
    </w:p>
    <w:p w14:paraId="641F4D4A" w14:textId="0682A1C4" w:rsidR="00EB0BDE" w:rsidRPr="00D401FA" w:rsidRDefault="00EB0BDE" w:rsidP="00216CAF">
      <w:pPr>
        <w:jc w:val="both"/>
        <w:rPr>
          <w:rFonts w:ascii="Aptos" w:hAnsi="Aptos"/>
        </w:rPr>
      </w:pPr>
      <w:r w:rsidRPr="00D401FA">
        <w:rPr>
          <w:rFonts w:ascii="Aptos" w:hAnsi="Aptos"/>
        </w:rPr>
        <w:t xml:space="preserve">La préparation d’un </w:t>
      </w:r>
      <w:proofErr w:type="spellStart"/>
      <w:r w:rsidRPr="00D401FA">
        <w:rPr>
          <w:rFonts w:ascii="Aptos" w:hAnsi="Aptos"/>
        </w:rPr>
        <w:t>PforR</w:t>
      </w:r>
      <w:proofErr w:type="spellEnd"/>
      <w:r w:rsidRPr="00D401FA">
        <w:rPr>
          <w:rFonts w:ascii="Aptos" w:hAnsi="Aptos"/>
        </w:rPr>
        <w:t xml:space="preserve"> exige une évaluation du système environnemental et social applicable au programme pour s’assurer que ces systèmes permettent d’identifier et d’atténuer de manière correcte les risques potentiels</w:t>
      </w:r>
      <w:r w:rsidR="008A6114">
        <w:rPr>
          <w:rFonts w:ascii="Aptos" w:hAnsi="Aptos"/>
        </w:rPr>
        <w:t xml:space="preserve">. Elle comprend </w:t>
      </w:r>
      <w:r w:rsidRPr="00D401FA">
        <w:rPr>
          <w:rFonts w:ascii="Aptos" w:hAnsi="Aptos"/>
        </w:rPr>
        <w:t xml:space="preserve">la préparation de rapports et la diffusion d’informations sur les impacts environnementaux et sociaux possibles des activités financées par le programme. </w:t>
      </w:r>
      <w:r w:rsidR="008A6114">
        <w:rPr>
          <w:rFonts w:ascii="Aptos" w:hAnsi="Aptos"/>
        </w:rPr>
        <w:t>Elle</w:t>
      </w:r>
      <w:r w:rsidRPr="00D401FA">
        <w:rPr>
          <w:rFonts w:ascii="Aptos" w:hAnsi="Aptos"/>
        </w:rPr>
        <w:t xml:space="preserve"> comporte </w:t>
      </w:r>
      <w:r w:rsidR="008A6114">
        <w:rPr>
          <w:rFonts w:ascii="Aptos" w:hAnsi="Aptos"/>
        </w:rPr>
        <w:t xml:space="preserve">également </w:t>
      </w:r>
      <w:r w:rsidRPr="00D401FA">
        <w:rPr>
          <w:rFonts w:ascii="Aptos" w:hAnsi="Aptos"/>
        </w:rPr>
        <w:t>la préparation et la diffusion d’informations sur les impacts environnementaux et sociaux possibles des activités financées par le programme. L’évaluation des systèmes environnementaux et sociaux doit en particulier permettre de : (i) promouvoir la durabilité environnementale et sociale du programme ; (ii) prévenir, réduire ou atténuer tout impact environnemental et social négatif ; et (iii) appuyer une prise de décision participative et éclairée.</w:t>
      </w:r>
    </w:p>
    <w:p w14:paraId="1FE503E0" w14:textId="7BCAB017" w:rsidR="00EB0BDE" w:rsidRPr="00D401FA" w:rsidRDefault="00EB0BDE" w:rsidP="00216CAF">
      <w:pPr>
        <w:jc w:val="both"/>
        <w:rPr>
          <w:rFonts w:ascii="Aptos" w:hAnsi="Aptos"/>
        </w:rPr>
      </w:pPr>
      <w:r w:rsidRPr="00D401FA">
        <w:rPr>
          <w:rFonts w:ascii="Aptos" w:hAnsi="Aptos"/>
        </w:rPr>
        <w:t>La politique de la Banque mondiale relative au financement</w:t>
      </w:r>
      <w:r w:rsidR="008A6114">
        <w:rPr>
          <w:rFonts w:ascii="Aptos" w:hAnsi="Aptos"/>
        </w:rPr>
        <w:t xml:space="preserve"> en modalité</w:t>
      </w:r>
      <w:r w:rsidRPr="00D401FA">
        <w:rPr>
          <w:rFonts w:ascii="Aptos" w:hAnsi="Aptos"/>
        </w:rPr>
        <w:t xml:space="preserve"> </w:t>
      </w:r>
      <w:proofErr w:type="spellStart"/>
      <w:r w:rsidRPr="00D401FA">
        <w:rPr>
          <w:rFonts w:ascii="Aptos" w:hAnsi="Aptos"/>
        </w:rPr>
        <w:t>PforR</w:t>
      </w:r>
      <w:proofErr w:type="spellEnd"/>
      <w:r w:rsidRPr="00D401FA">
        <w:rPr>
          <w:rFonts w:ascii="Aptos" w:hAnsi="Aptos"/>
        </w:rPr>
        <w:t xml:space="preserve"> définit des principes environnementaux et sociaux fondamentaux qui doivent être respectés dans le cadre de l’ESES. La cohérence des systèmes est appréciée par le Programme en fonction</w:t>
      </w:r>
      <w:r w:rsidR="002F3BC6">
        <w:rPr>
          <w:rFonts w:ascii="Aptos" w:hAnsi="Aptos"/>
        </w:rPr>
        <w:t xml:space="preserve"> </w:t>
      </w:r>
      <w:r w:rsidRPr="00D401FA">
        <w:rPr>
          <w:rFonts w:ascii="Aptos" w:hAnsi="Aptos"/>
        </w:rPr>
        <w:t xml:space="preserve">: (i) des systèmes définis par les lois, règlements, procédures, etc. (« le système tel que défini ») ; et (ii) </w:t>
      </w:r>
      <w:r w:rsidR="002F3BC6">
        <w:rPr>
          <w:rFonts w:ascii="Aptos" w:hAnsi="Aptos"/>
        </w:rPr>
        <w:t xml:space="preserve">de </w:t>
      </w:r>
      <w:r w:rsidRPr="00D401FA">
        <w:rPr>
          <w:rFonts w:ascii="Aptos" w:hAnsi="Aptos"/>
        </w:rPr>
        <w:t>la capacité des institutions du Programme à mettre en œuvre efficacement ces systèmes (« le système tel qu’appliqué en pratique »). Elle identifie et analyse les écarts entre les systèmes nationaux et les principes de base applicables au Programme aux deux niveaux indiqués ci-dessus. Il convient donc de souligner que, compte tenu de la nature même des interventions programmatiques, l’ESES se concentre sur le système tel qu’il existe, et ne fournit que des informations sur le type, la nature et les caractéristiques des activités introduites par le Programme.</w:t>
      </w:r>
    </w:p>
    <w:p w14:paraId="01AACEB9" w14:textId="77777777" w:rsidR="00EB0BDE" w:rsidRPr="00D401FA" w:rsidRDefault="00EB0BDE" w:rsidP="00216CAF">
      <w:pPr>
        <w:jc w:val="both"/>
        <w:rPr>
          <w:rFonts w:ascii="Aptos" w:hAnsi="Aptos"/>
        </w:rPr>
      </w:pPr>
      <w:r w:rsidRPr="00D401FA">
        <w:rPr>
          <w:rFonts w:ascii="Aptos" w:hAnsi="Aptos"/>
        </w:rPr>
        <w:t>Les principes de base qui doivent être respectés dans l’évaluation des systèmes environnementaux et sociaux sont les suivants :</w:t>
      </w:r>
    </w:p>
    <w:p w14:paraId="7676A64C" w14:textId="77777777" w:rsidR="008A6114" w:rsidRDefault="00EB0BDE" w:rsidP="008B048C">
      <w:pPr>
        <w:pStyle w:val="ListParagraph"/>
        <w:numPr>
          <w:ilvl w:val="0"/>
          <w:numId w:val="27"/>
        </w:numPr>
        <w:ind w:left="714" w:hanging="357"/>
        <w:contextualSpacing w:val="0"/>
        <w:jc w:val="both"/>
        <w:rPr>
          <w:rFonts w:ascii="Aptos" w:hAnsi="Aptos"/>
        </w:rPr>
      </w:pPr>
      <w:r w:rsidRPr="00D401FA">
        <w:rPr>
          <w:rFonts w:ascii="Aptos" w:hAnsi="Aptos"/>
        </w:rPr>
        <w:t>Promouvoir la durabilité environnementale et sociale dans la conception du programme.</w:t>
      </w:r>
    </w:p>
    <w:p w14:paraId="3855F5D5" w14:textId="318C827C" w:rsidR="00EB0BDE" w:rsidRPr="00D401FA" w:rsidRDefault="00EB0BDE" w:rsidP="008B048C">
      <w:pPr>
        <w:pStyle w:val="ListParagraph"/>
        <w:numPr>
          <w:ilvl w:val="0"/>
          <w:numId w:val="27"/>
        </w:numPr>
        <w:ind w:left="714" w:hanging="357"/>
        <w:contextualSpacing w:val="0"/>
        <w:jc w:val="both"/>
        <w:rPr>
          <w:rFonts w:ascii="Aptos" w:hAnsi="Aptos"/>
        </w:rPr>
      </w:pPr>
      <w:r w:rsidRPr="00D401FA">
        <w:rPr>
          <w:rFonts w:ascii="Aptos" w:hAnsi="Aptos"/>
        </w:rPr>
        <w:lastRenderedPageBreak/>
        <w:t>Prévenir, réduire ou atténuer les impacts négatifs et promouvoir une prise de décision éclairée concernant les impacts que le Programme pourrait avoir sur l’environnement et le social.</w:t>
      </w:r>
    </w:p>
    <w:p w14:paraId="3133E130" w14:textId="77777777" w:rsidR="00EB0BDE" w:rsidRPr="00D401FA" w:rsidRDefault="00EB0BDE" w:rsidP="008B048C">
      <w:pPr>
        <w:pStyle w:val="ListParagraph"/>
        <w:numPr>
          <w:ilvl w:val="0"/>
          <w:numId w:val="27"/>
        </w:numPr>
        <w:ind w:left="714" w:hanging="357"/>
        <w:contextualSpacing w:val="0"/>
        <w:jc w:val="both"/>
        <w:rPr>
          <w:rFonts w:ascii="Aptos" w:hAnsi="Aptos"/>
        </w:rPr>
      </w:pPr>
      <w:r w:rsidRPr="00D401FA">
        <w:rPr>
          <w:rFonts w:ascii="Aptos" w:hAnsi="Aptos"/>
        </w:rPr>
        <w:t>Prévenir, minimiser ou atténuer les impacts négatifs sur les ressources naturelles physiques résultant du programme.</w:t>
      </w:r>
    </w:p>
    <w:p w14:paraId="487FBC54" w14:textId="77777777" w:rsidR="00EB0BDE" w:rsidRPr="00D401FA" w:rsidRDefault="00EB0BDE" w:rsidP="008B048C">
      <w:pPr>
        <w:pStyle w:val="ListParagraph"/>
        <w:numPr>
          <w:ilvl w:val="0"/>
          <w:numId w:val="27"/>
        </w:numPr>
        <w:ind w:left="714" w:hanging="357"/>
        <w:contextualSpacing w:val="0"/>
        <w:jc w:val="both"/>
        <w:rPr>
          <w:rFonts w:ascii="Aptos" w:hAnsi="Aptos"/>
        </w:rPr>
      </w:pPr>
      <w:r w:rsidRPr="00D401FA">
        <w:rPr>
          <w:rFonts w:ascii="Aptos" w:hAnsi="Aptos"/>
        </w:rPr>
        <w:t>Protéger la sécurité du public et des travailleurs contre les risques associés : (i) à la construction et/ou à l’exploitation des installations du programme ; (ii) à l’exposition à des produits chimiques toxiques, à des déchets dangereux, à la pollution de l’air et aux nuisances sonores causées par le programme ; et (iii) à la reconstruction ou à la restauration d’infrastructures situées en milieu urbain.</w:t>
      </w:r>
    </w:p>
    <w:p w14:paraId="480E71E1" w14:textId="77777777" w:rsidR="00EB0BDE" w:rsidRPr="00D401FA" w:rsidRDefault="00EB0BDE" w:rsidP="008B048C">
      <w:pPr>
        <w:pStyle w:val="ListParagraph"/>
        <w:numPr>
          <w:ilvl w:val="0"/>
          <w:numId w:val="27"/>
        </w:numPr>
        <w:ind w:left="714" w:hanging="357"/>
        <w:contextualSpacing w:val="0"/>
        <w:jc w:val="both"/>
        <w:rPr>
          <w:rFonts w:ascii="Aptos" w:hAnsi="Aptos"/>
        </w:rPr>
      </w:pPr>
      <w:r w:rsidRPr="00D401FA">
        <w:rPr>
          <w:rFonts w:ascii="Aptos" w:hAnsi="Aptos"/>
        </w:rPr>
        <w:t>Gérer les éventuelles acquisitions de terres privées et les pertes d’accès aux biens économiques et aux services publics de manière à prévenir ou réduire les déplacements physiques et économiques, et à aider les personnes affectées à améliorer ou, à tout le moins, à rétablir leurs moyens de subsistance et leur qualité de vie.</w:t>
      </w:r>
    </w:p>
    <w:p w14:paraId="08F828D5" w14:textId="77777777" w:rsidR="00D401FA" w:rsidRDefault="00EB0BDE" w:rsidP="008B048C">
      <w:pPr>
        <w:pStyle w:val="ListParagraph"/>
        <w:numPr>
          <w:ilvl w:val="0"/>
          <w:numId w:val="27"/>
        </w:numPr>
        <w:ind w:left="714" w:hanging="357"/>
        <w:contextualSpacing w:val="0"/>
        <w:jc w:val="both"/>
        <w:rPr>
          <w:rFonts w:ascii="Aptos" w:hAnsi="Aptos"/>
        </w:rPr>
      </w:pPr>
      <w:r w:rsidRPr="00D401FA">
        <w:rPr>
          <w:rFonts w:ascii="Aptos" w:hAnsi="Aptos"/>
        </w:rPr>
        <w:t>Tenir compte de la pertinence culturelle et de l’accès équitable aux bénéfices du programme en accordant une attention particulière aux droits et intérêts, ainsi qu’aux besoins et préoccupations de toutes les catégories sociales, y compris les groupes vulnérables.</w:t>
      </w:r>
    </w:p>
    <w:p w14:paraId="2FD262BF" w14:textId="58066907" w:rsidR="00EB0BDE" w:rsidRPr="00D401FA" w:rsidRDefault="00EB0BDE" w:rsidP="008B048C">
      <w:pPr>
        <w:pStyle w:val="ListParagraph"/>
        <w:numPr>
          <w:ilvl w:val="0"/>
          <w:numId w:val="27"/>
        </w:numPr>
        <w:ind w:left="714" w:hanging="357"/>
        <w:contextualSpacing w:val="0"/>
        <w:jc w:val="both"/>
        <w:rPr>
          <w:rFonts w:ascii="Aptos" w:hAnsi="Aptos"/>
        </w:rPr>
      </w:pPr>
      <w:r w:rsidRPr="00D401FA">
        <w:rPr>
          <w:rFonts w:ascii="Aptos" w:hAnsi="Aptos"/>
        </w:rPr>
        <w:t>Contribuer à prévenir, réduire, voire éliminer les conflits sociaux.</w:t>
      </w:r>
    </w:p>
    <w:p w14:paraId="3522FFF8" w14:textId="31F72D65" w:rsidR="00EB0BDE" w:rsidRPr="00D401FA" w:rsidRDefault="00EB0BDE" w:rsidP="00216CAF">
      <w:pPr>
        <w:jc w:val="both"/>
        <w:rPr>
          <w:rFonts w:ascii="Aptos" w:hAnsi="Aptos"/>
        </w:rPr>
      </w:pPr>
      <w:r w:rsidRPr="00D401FA">
        <w:rPr>
          <w:rFonts w:ascii="Aptos" w:hAnsi="Aptos"/>
        </w:rPr>
        <w:t xml:space="preserve">Par conséquent, l’approche </w:t>
      </w:r>
      <w:r w:rsidR="008A6114">
        <w:rPr>
          <w:rFonts w:ascii="Aptos" w:hAnsi="Aptos"/>
        </w:rPr>
        <w:t>d’</w:t>
      </w:r>
      <w:r w:rsidRPr="00D401FA">
        <w:rPr>
          <w:rFonts w:ascii="Aptos" w:hAnsi="Aptos"/>
        </w:rPr>
        <w:t>IQRAA exclut toute activité présentant un risque d’impacts environnementaux et sociaux significatifs. À cet égard, tout investissement considéré comme présentant un</w:t>
      </w:r>
      <w:r w:rsidR="008A6114">
        <w:rPr>
          <w:rFonts w:ascii="Aptos" w:hAnsi="Aptos"/>
        </w:rPr>
        <w:t xml:space="preserve"> niveau de</w:t>
      </w:r>
      <w:r w:rsidRPr="00D401FA">
        <w:rPr>
          <w:rFonts w:ascii="Aptos" w:hAnsi="Aptos"/>
        </w:rPr>
        <w:t xml:space="preserve"> risque </w:t>
      </w:r>
      <w:r w:rsidR="008A6114">
        <w:rPr>
          <w:rFonts w:ascii="Aptos" w:hAnsi="Aptos"/>
        </w:rPr>
        <w:t>É</w:t>
      </w:r>
      <w:r w:rsidRPr="00D401FA">
        <w:rPr>
          <w:rFonts w:ascii="Aptos" w:hAnsi="Aptos"/>
        </w:rPr>
        <w:t>levé, correspondant à la catégorie A du Code de l’environnement mauritanien, sera exclu dans la mesure où il poserait un risque environnemental et social potentiellement important, avec des impacts négatifs divers, irréversibles et sans précédent.</w:t>
      </w:r>
    </w:p>
    <w:p w14:paraId="1AC2AAFB" w14:textId="77777777" w:rsidR="00EB0BDE" w:rsidRPr="00D401FA" w:rsidRDefault="00EB0BDE" w:rsidP="00216CAF">
      <w:pPr>
        <w:jc w:val="both"/>
        <w:rPr>
          <w:rFonts w:ascii="Aptos" w:hAnsi="Aptos"/>
        </w:rPr>
      </w:pPr>
      <w:r w:rsidRPr="00D401FA">
        <w:rPr>
          <w:rFonts w:ascii="Aptos" w:hAnsi="Aptos"/>
        </w:rPr>
        <w:t>L’ESES vise à identifier les forces et les faiblesses du système environnemental et social applicable au programme afin de déterminer les actions nécessaires pour améliorer sa performance. Des mesures spécifiques pour combler les insuffisances relevées sont également proposées afin d’améliorer les pratiques et procédures actuelles et de les rendre conformes aux dispositions de la Banque, notamment dans le cadre de la préparation de l’annexe au Manuel des procédures du Programme relative aux sauvegardes environnementales et sociales.</w:t>
      </w:r>
    </w:p>
    <w:p w14:paraId="3E363356" w14:textId="72208A85" w:rsidR="00246351" w:rsidRPr="00D401FA" w:rsidRDefault="00246351" w:rsidP="00216CAF">
      <w:pPr>
        <w:jc w:val="both"/>
        <w:rPr>
          <w:rFonts w:ascii="Aptos" w:hAnsi="Aptos"/>
        </w:rPr>
      </w:pPr>
      <w:r w:rsidRPr="00D401FA">
        <w:rPr>
          <w:rFonts w:ascii="Aptos" w:hAnsi="Aptos"/>
        </w:rPr>
        <w:br w:type="page"/>
      </w:r>
    </w:p>
    <w:p w14:paraId="3B535103" w14:textId="73B0717D" w:rsidR="00246351" w:rsidRPr="00BE5E0B" w:rsidRDefault="00246351" w:rsidP="00BE5E0B">
      <w:pPr>
        <w:pStyle w:val="Heading1"/>
      </w:pPr>
      <w:bookmarkStart w:id="3" w:name="_Toc227686265"/>
      <w:bookmarkStart w:id="4" w:name="_Toc227686295"/>
      <w:bookmarkStart w:id="5" w:name="_Toc227686341"/>
      <w:r w:rsidRPr="00BE5E0B">
        <w:lastRenderedPageBreak/>
        <w:t>Le Programme</w:t>
      </w:r>
      <w:bookmarkEnd w:id="3"/>
      <w:bookmarkEnd w:id="4"/>
      <w:bookmarkEnd w:id="5"/>
    </w:p>
    <w:p w14:paraId="0657B01E" w14:textId="44F55998" w:rsidR="00246351" w:rsidRPr="00BE5E0B" w:rsidRDefault="00246351" w:rsidP="00BE5E0B">
      <w:pPr>
        <w:pStyle w:val="Heading2"/>
      </w:pPr>
      <w:bookmarkStart w:id="6" w:name="_Toc227686266"/>
      <w:bookmarkStart w:id="7" w:name="_Toc227686296"/>
      <w:bookmarkStart w:id="8" w:name="_Toc227686342"/>
      <w:r w:rsidRPr="00BE5E0B">
        <w:t>Contexte stratégique du Programme</w:t>
      </w:r>
      <w:bookmarkEnd w:id="6"/>
      <w:bookmarkEnd w:id="7"/>
      <w:bookmarkEnd w:id="8"/>
    </w:p>
    <w:p w14:paraId="6D0C2212" w14:textId="77777777" w:rsidR="00246351" w:rsidRPr="00D401FA" w:rsidRDefault="00246351" w:rsidP="00216CAF">
      <w:pPr>
        <w:jc w:val="both"/>
        <w:rPr>
          <w:rFonts w:ascii="Aptos" w:hAnsi="Aptos"/>
        </w:rPr>
      </w:pPr>
      <w:r w:rsidRPr="00BE5E0B">
        <w:rPr>
          <w:rFonts w:ascii="Aptos" w:hAnsi="Aptos"/>
          <w:b/>
          <w:bCs/>
        </w:rPr>
        <w:t>Le Gouvernement de la Mauritanie (GdM) a élaboré le Plan prioritaire de soutien aux apprentissages (PPSA, 2026-2030),</w:t>
      </w:r>
      <w:r w:rsidRPr="00D401FA">
        <w:rPr>
          <w:rFonts w:ascii="Aptos" w:hAnsi="Aptos"/>
        </w:rPr>
        <w:t xml:space="preserve"> dont l’objectif global est d’améliorer la qualité de l’éducation préscolaire et primaire et d’élargir l’accès à l’enseignement secondaire, en particulier pour les filles et dans les zones rurales. Cette opération appuiera le nouveau programme gouvernemental (PPSA) visant à accélérer la transformation du système éducatif.</w:t>
      </w:r>
    </w:p>
    <w:p w14:paraId="05840F11" w14:textId="539AD3FC" w:rsidR="00246351" w:rsidRPr="00D401FA" w:rsidRDefault="00246351" w:rsidP="00216CAF">
      <w:pPr>
        <w:jc w:val="both"/>
        <w:rPr>
          <w:rFonts w:ascii="Aptos" w:hAnsi="Aptos"/>
        </w:rPr>
      </w:pPr>
      <w:r w:rsidRPr="00BE5E0B">
        <w:rPr>
          <w:rFonts w:ascii="Aptos" w:hAnsi="Aptos"/>
          <w:b/>
          <w:bCs/>
        </w:rPr>
        <w:t>Le programme proposé « Amélioration de la qualité, des résultats et de l’accès à l’éducation pour tous en Mauritanie » (IQRAA) (le « Programme »),</w:t>
      </w:r>
      <w:r w:rsidRPr="00D401FA">
        <w:rPr>
          <w:rFonts w:ascii="Aptos" w:hAnsi="Aptos"/>
        </w:rPr>
        <w:t xml:space="preserve"> financé par l’Association internationale de développement (IDA) à hauteur de </w:t>
      </w:r>
      <w:r w:rsidR="005E5794">
        <w:rPr>
          <w:rFonts w:ascii="Aptos" w:hAnsi="Aptos"/>
        </w:rPr>
        <w:t>40</w:t>
      </w:r>
      <w:r w:rsidR="005E5794" w:rsidRPr="00D401FA">
        <w:rPr>
          <w:rFonts w:ascii="Aptos" w:hAnsi="Aptos"/>
        </w:rPr>
        <w:t xml:space="preserve"> </w:t>
      </w:r>
      <w:r w:rsidRPr="00D401FA">
        <w:rPr>
          <w:rFonts w:ascii="Aptos" w:hAnsi="Aptos"/>
        </w:rPr>
        <w:t xml:space="preserve">millions USD et par le Partenariat mondial pour l’éducation (GPE) à hauteur de </w:t>
      </w:r>
      <w:r w:rsidR="005E5794">
        <w:rPr>
          <w:rFonts w:ascii="Aptos" w:hAnsi="Aptos"/>
        </w:rPr>
        <w:t>16,75</w:t>
      </w:r>
      <w:r w:rsidRPr="00D401FA">
        <w:rPr>
          <w:rFonts w:ascii="Aptos" w:hAnsi="Aptos"/>
        </w:rPr>
        <w:t xml:space="preserve"> millions USD (</w:t>
      </w:r>
      <w:r w:rsidR="005E5794">
        <w:rPr>
          <w:rFonts w:ascii="Aptos" w:hAnsi="Aptos"/>
        </w:rPr>
        <w:t>51,75</w:t>
      </w:r>
      <w:r w:rsidRPr="00D401FA">
        <w:rPr>
          <w:rFonts w:ascii="Aptos" w:hAnsi="Aptos"/>
        </w:rPr>
        <w:t xml:space="preserve"> millions USD au titre du Programme axé sur les résultats [</w:t>
      </w:r>
      <w:proofErr w:type="spellStart"/>
      <w:r w:rsidRPr="00D401FA">
        <w:rPr>
          <w:rFonts w:ascii="Aptos" w:hAnsi="Aptos"/>
        </w:rPr>
        <w:t>PforR</w:t>
      </w:r>
      <w:proofErr w:type="spellEnd"/>
      <w:r w:rsidRPr="00D401FA">
        <w:rPr>
          <w:rFonts w:ascii="Aptos" w:hAnsi="Aptos"/>
        </w:rPr>
        <w:t>] et 5 millions USD en financement de projets d’investissement [IPF]), appuiera le GdM dans la réalisation des résultats de son programme. Le Programme contribuera directement à l’objectif du nouveau Cadre de partenariat pays (CPP), au titre du Résultat 1 relatif à la création d’emplois plus nombreux et de meilleure qualité. Le Programme est pleinement en cohérence avec les recommandations du Livre blanc sur l’éducation au Sahel (</w:t>
      </w:r>
      <w:r w:rsidR="008A6114">
        <w:rPr>
          <w:rFonts w:ascii="Aptos" w:hAnsi="Aptos"/>
        </w:rPr>
        <w:t>LBES</w:t>
      </w:r>
      <w:r w:rsidRPr="00D401FA">
        <w:rPr>
          <w:rFonts w:ascii="Aptos" w:hAnsi="Aptos"/>
        </w:rPr>
        <w:t>, 2021) et a pour objectif de réduire la pauvreté des apprentissages et d’améliorer l’éducation des filles. Il s’appuie sur un cadre de partenariat solide et est pleinement en cohérence avec le Compact de partenariat pour l’éducation de la Mauritanie, promu par le GPE, récemment adopté par le GdM et validé par les partenaires du secteur de l’éducation. Le Programme contribue au double objectif de la Banque mondiale : réduire l’extrême pauvreté et promouvoir une prospérité partagée sur une planète vivable.</w:t>
      </w:r>
    </w:p>
    <w:p w14:paraId="3642C2D6" w14:textId="6B85CA52" w:rsidR="00246351" w:rsidRPr="00D401FA" w:rsidRDefault="00246351" w:rsidP="00216CAF">
      <w:pPr>
        <w:jc w:val="both"/>
        <w:rPr>
          <w:rFonts w:ascii="Aptos" w:hAnsi="Aptos"/>
        </w:rPr>
      </w:pPr>
      <w:r w:rsidRPr="00BE5E0B">
        <w:rPr>
          <w:rFonts w:ascii="Aptos" w:hAnsi="Aptos"/>
          <w:b/>
          <w:bCs/>
        </w:rPr>
        <w:t>Le Programme s’inscrit également en cohérence avec la Stratégie pour l’Afrique de l’Ouest et du Centre (WCAES, 2022) de la Banque mondiale, qui vise à faire en sorte que toutes les filles et tous les garçons arrivent à l’école prêts à apprendre, acquièrent des apprentissages effectifs et disposent des compétences nécessaires pour intégrer le marché du travail et devenir des citoyens productifs et épanouis.</w:t>
      </w:r>
      <w:r w:rsidRPr="00D401FA">
        <w:rPr>
          <w:rFonts w:ascii="Aptos" w:hAnsi="Aptos"/>
        </w:rPr>
        <w:t xml:space="preserve"> Cette stratégie repose sur trois piliers : (a) améliorer l’enseignement et l’apprentissage ; (b) élargir les opportunités ; et (c) développer les compétences professionnelles. Cette stratégie a été lancée à Accra, au Ghana, en juin 2022, où plus de quarante ministres de l’</w:t>
      </w:r>
      <w:r w:rsidR="002F3BC6">
        <w:rPr>
          <w:rFonts w:ascii="Aptos" w:hAnsi="Aptos"/>
        </w:rPr>
        <w:t>É</w:t>
      </w:r>
      <w:r w:rsidRPr="00D401FA">
        <w:rPr>
          <w:rFonts w:ascii="Aptos" w:hAnsi="Aptos"/>
        </w:rPr>
        <w:t xml:space="preserve">ducation et des </w:t>
      </w:r>
      <w:r w:rsidR="002F3BC6">
        <w:rPr>
          <w:rFonts w:ascii="Aptos" w:hAnsi="Aptos"/>
        </w:rPr>
        <w:t>F</w:t>
      </w:r>
      <w:r w:rsidRPr="00D401FA">
        <w:rPr>
          <w:rFonts w:ascii="Aptos" w:hAnsi="Aptos"/>
        </w:rPr>
        <w:t>inances d’Afrique de l’Ouest et du Centre ont examiné la WCAES et signé un appel conjoint à l’action. Cet appel souligne la nécessité d’un leadership fort, d’une gouvernance solide, d’une meilleure mise en œuvre, d’investissements accrus dans des interventions à fort impact, ainsi que d’une approche mobilisant l’ensemble de la société et de l’action publique pour faire avancer les réformes éducatives.</w:t>
      </w:r>
    </w:p>
    <w:p w14:paraId="3A396668" w14:textId="24D1D700" w:rsidR="00246351" w:rsidRPr="00D401FA" w:rsidRDefault="00246351" w:rsidP="00216CAF">
      <w:pPr>
        <w:jc w:val="both"/>
        <w:rPr>
          <w:rFonts w:ascii="Aptos" w:hAnsi="Aptos"/>
        </w:rPr>
      </w:pPr>
      <w:r w:rsidRPr="00BE5E0B">
        <w:rPr>
          <w:rFonts w:ascii="Aptos" w:hAnsi="Aptos"/>
          <w:b/>
          <w:bCs/>
        </w:rPr>
        <w:t xml:space="preserve">Le </w:t>
      </w:r>
      <w:proofErr w:type="spellStart"/>
      <w:r w:rsidRPr="00BE5E0B">
        <w:rPr>
          <w:rFonts w:ascii="Aptos" w:hAnsi="Aptos"/>
          <w:b/>
          <w:bCs/>
        </w:rPr>
        <w:t>PforR</w:t>
      </w:r>
      <w:proofErr w:type="spellEnd"/>
      <w:r w:rsidRPr="00BE5E0B">
        <w:rPr>
          <w:rFonts w:ascii="Aptos" w:hAnsi="Aptos"/>
          <w:b/>
          <w:bCs/>
        </w:rPr>
        <w:t xml:space="preserve"> est particulièrement adapté pour appuyer le Gouvernement dans le renforcement de son système éducatif</w:t>
      </w:r>
      <w:r w:rsidRPr="00D401FA">
        <w:rPr>
          <w:rFonts w:ascii="Aptos" w:hAnsi="Aptos"/>
        </w:rPr>
        <w:t xml:space="preserve">. Il met l’accent sur le renforcement du système pays, l’amélioration des cadres institutionnels et de gouvernance, et la réalisation de résultats concrets. Le Gouvernement s’est engagé à intensifier une approche systémique en amorçant sa transition vers une budgétisation par programme à travers sa première opération </w:t>
      </w:r>
      <w:proofErr w:type="spellStart"/>
      <w:r w:rsidRPr="00D401FA">
        <w:rPr>
          <w:rFonts w:ascii="Aptos" w:hAnsi="Aptos"/>
        </w:rPr>
        <w:t>PforR</w:t>
      </w:r>
      <w:proofErr w:type="spellEnd"/>
      <w:r w:rsidRPr="00D401FA">
        <w:rPr>
          <w:rFonts w:ascii="Aptos" w:hAnsi="Aptos"/>
        </w:rPr>
        <w:t xml:space="preserve"> dans le secteur de la gouvernance, le programme « Amélioration de l’efficacité des dépenses publiques en Mauritanie</w:t>
      </w:r>
      <w:r w:rsidR="00D1479F">
        <w:rPr>
          <w:rFonts w:ascii="Aptos" w:hAnsi="Aptos"/>
        </w:rPr>
        <w:t> </w:t>
      </w:r>
      <w:r w:rsidRPr="00D401FA">
        <w:rPr>
          <w:rFonts w:ascii="Aptos" w:hAnsi="Aptos"/>
        </w:rPr>
        <w:t xml:space="preserve">» (P506443), approuvé le 3 juin 2025. En complément du financement </w:t>
      </w:r>
      <w:proofErr w:type="spellStart"/>
      <w:r w:rsidRPr="00D401FA">
        <w:rPr>
          <w:rFonts w:ascii="Aptos" w:hAnsi="Aptos"/>
        </w:rPr>
        <w:t>PforR</w:t>
      </w:r>
      <w:proofErr w:type="spellEnd"/>
      <w:r w:rsidRPr="00D401FA">
        <w:rPr>
          <w:rFonts w:ascii="Aptos" w:hAnsi="Aptos"/>
        </w:rPr>
        <w:t xml:space="preserve"> (désigné comme le «</w:t>
      </w:r>
      <w:r w:rsidR="00D1479F">
        <w:rPr>
          <w:rFonts w:ascii="Aptos" w:hAnsi="Aptos"/>
        </w:rPr>
        <w:t> </w:t>
      </w:r>
      <w:r w:rsidRPr="00D401FA">
        <w:rPr>
          <w:rFonts w:ascii="Aptos" w:hAnsi="Aptos"/>
        </w:rPr>
        <w:t xml:space="preserve">Programme » dans le document), l’opération comprend une composante en modalité projet (IPF) consistant à une assistance technique visant à appuyer des investissements stratégiques </w:t>
      </w:r>
      <w:r w:rsidRPr="00D401FA">
        <w:rPr>
          <w:rFonts w:ascii="Aptos" w:hAnsi="Aptos"/>
        </w:rPr>
        <w:lastRenderedPageBreak/>
        <w:t xml:space="preserve">dans les capacités techniques, fiduciaires et de suivi et évaluation (S&amp;E), essentielles pour </w:t>
      </w:r>
      <w:r w:rsidR="00D1479F">
        <w:rPr>
          <w:rFonts w:ascii="Aptos" w:hAnsi="Aptos"/>
        </w:rPr>
        <w:t>obtenir</w:t>
      </w:r>
      <w:r w:rsidRPr="00D401FA">
        <w:rPr>
          <w:rFonts w:ascii="Aptos" w:hAnsi="Aptos"/>
        </w:rPr>
        <w:t xml:space="preserve"> la qualité des résultats attendus.</w:t>
      </w:r>
    </w:p>
    <w:p w14:paraId="471A7561" w14:textId="2829B42C" w:rsidR="00246351" w:rsidRPr="00D401FA" w:rsidRDefault="00246351" w:rsidP="00216CAF">
      <w:pPr>
        <w:jc w:val="both"/>
        <w:rPr>
          <w:rFonts w:ascii="Aptos" w:hAnsi="Aptos"/>
        </w:rPr>
      </w:pPr>
      <w:r w:rsidRPr="00BE5E0B">
        <w:rPr>
          <w:rFonts w:ascii="Aptos" w:hAnsi="Aptos"/>
          <w:b/>
          <w:bCs/>
        </w:rPr>
        <w:t>Le Programme contribuera également à la réalisation des objectifs « Personnes » du nouveau tableau de bord de la Banque mondiale, ainsi qu’aux thématiques transversales liées aux femmes, aux jeunes et à la fragilité.</w:t>
      </w:r>
      <w:r w:rsidRPr="00D401FA">
        <w:rPr>
          <w:rFonts w:ascii="Aptos" w:hAnsi="Aptos"/>
        </w:rPr>
        <w:t xml:space="preserve"> Il alimentera les indicateurs des Domaines de résultat 2 (absence de pauvreté des apprentissages) et 12 (égalité de genre et inclusion des jeunes). Le Programme s’inscrit pleinement dans le Compact de transformation du Sahel IDA19 «</w:t>
      </w:r>
      <w:r w:rsidR="00D1479F">
        <w:rPr>
          <w:rFonts w:ascii="Aptos" w:hAnsi="Aptos"/>
        </w:rPr>
        <w:t> </w:t>
      </w:r>
      <w:r w:rsidRPr="00D401FA">
        <w:rPr>
          <w:rFonts w:ascii="Aptos" w:hAnsi="Aptos"/>
        </w:rPr>
        <w:t xml:space="preserve">Transformer et améliorer les conditions de vie : passer à l’échelle pour produire des résultats au Sahel ». Il est également pleinement en cohérence avec les stratégies climatiques nationales, en particulier les objectifs du Rapport national sur le climat et le développement (CCDR) de la Mauritanie, en mettant l’accent sur la mise en place de systèmes éducatifs résilients capables de </w:t>
      </w:r>
      <w:r w:rsidR="00D1479F">
        <w:rPr>
          <w:rFonts w:ascii="Aptos" w:hAnsi="Aptos"/>
        </w:rPr>
        <w:t>résister</w:t>
      </w:r>
      <w:r w:rsidRPr="00D401FA">
        <w:rPr>
          <w:rFonts w:ascii="Aptos" w:hAnsi="Aptos"/>
        </w:rPr>
        <w:t xml:space="preserve"> aux perturbations climatiques, afin d’assurer une éducation continue, inclusive et de qualité, venant directement en appui à l’appel du CCDR en faveur d’in</w:t>
      </w:r>
      <w:r w:rsidR="00D1479F">
        <w:rPr>
          <w:rFonts w:ascii="Aptos" w:hAnsi="Aptos"/>
        </w:rPr>
        <w:t>vestissements dans des in</w:t>
      </w:r>
      <w:r w:rsidRPr="00D401FA">
        <w:rPr>
          <w:rFonts w:ascii="Aptos" w:hAnsi="Aptos"/>
        </w:rPr>
        <w:t xml:space="preserve">frastructures résilientes et </w:t>
      </w:r>
      <w:r w:rsidR="00D1479F">
        <w:rPr>
          <w:rFonts w:ascii="Aptos" w:hAnsi="Aptos"/>
        </w:rPr>
        <w:t xml:space="preserve">dans </w:t>
      </w:r>
      <w:r w:rsidRPr="00D401FA">
        <w:rPr>
          <w:rFonts w:ascii="Aptos" w:hAnsi="Aptos"/>
        </w:rPr>
        <w:t>le capital humain, notamment dans le secteur de l’éducation.</w:t>
      </w:r>
    </w:p>
    <w:p w14:paraId="69FA63D3" w14:textId="6829992D" w:rsidR="007C0020" w:rsidRPr="00D401FA" w:rsidRDefault="007C0020" w:rsidP="00BE5E0B">
      <w:pPr>
        <w:pStyle w:val="Heading2"/>
      </w:pPr>
      <w:bookmarkStart w:id="9" w:name="_Toc227686267"/>
      <w:bookmarkStart w:id="10" w:name="_Toc227686297"/>
      <w:bookmarkStart w:id="11" w:name="_Toc227686343"/>
      <w:r w:rsidRPr="00D401FA">
        <w:t>Contexte sectoriel et institutionnel</w:t>
      </w:r>
      <w:bookmarkEnd w:id="9"/>
      <w:bookmarkEnd w:id="10"/>
      <w:bookmarkEnd w:id="11"/>
    </w:p>
    <w:p w14:paraId="45D4970E" w14:textId="17725A21" w:rsidR="007C0020" w:rsidRPr="00D401FA" w:rsidRDefault="007C0020" w:rsidP="00216CAF">
      <w:pPr>
        <w:jc w:val="both"/>
        <w:rPr>
          <w:rFonts w:ascii="Aptos" w:hAnsi="Aptos"/>
        </w:rPr>
      </w:pPr>
      <w:r w:rsidRPr="00BE5E0B">
        <w:rPr>
          <w:rFonts w:ascii="Aptos" w:hAnsi="Aptos"/>
          <w:b/>
          <w:bCs/>
        </w:rPr>
        <w:t>La croissance de la population jeune en Mauritanie constitue à la fois un défi et une opportunité pour le système éducatif</w:t>
      </w:r>
      <w:r w:rsidRPr="00D401FA">
        <w:rPr>
          <w:rFonts w:ascii="Aptos" w:hAnsi="Aptos"/>
        </w:rPr>
        <w:t xml:space="preserve">. Avec 41 pour cent de la population âgée de moins de 15 ans en 2024, la demande de scolarisation augmente rapidement. L’un des facteurs les plus critiques de la pauvreté des apprentissages en Mauritanie est le manque de préparation à la scolarité, dû à l’accès limité à l’éducation préscolaire. L’éducation de la petite enfance (EPE) est essentielle pour le développement des compétences cognitives et socio-émotionnelles fondamentales. Cependant, moins de 10 pour cent des enfants bénéficient de programmes préscolaires structurés, plaçant la Mauritanie parmi les pays d’Afrique de l’Ouest et du Centre ayant les taux de couverture préscolaire les plus faibles et laissant la majorité des enfants non préparés à l’enseignement primaire. La parité entre les sexes dans l’éducation s’est améliorée en Mauritanie, mais des disparités importantes persistent en matière de résultats d’apprentissage, de rétention et d’achèvement. Si les filles sont parvenues au même niveau </w:t>
      </w:r>
      <w:r w:rsidR="00D1479F" w:rsidRPr="00D401FA">
        <w:rPr>
          <w:rFonts w:ascii="Aptos" w:hAnsi="Aptos"/>
        </w:rPr>
        <w:t xml:space="preserve">que les garçons </w:t>
      </w:r>
      <w:r w:rsidR="00D1479F">
        <w:rPr>
          <w:rFonts w:ascii="Aptos" w:hAnsi="Aptos"/>
        </w:rPr>
        <w:t xml:space="preserve">en matière </w:t>
      </w:r>
      <w:r w:rsidRPr="00D401FA">
        <w:rPr>
          <w:rFonts w:ascii="Aptos" w:hAnsi="Aptos"/>
        </w:rPr>
        <w:t>d’accès au premier cycle du secondaire depuis 2019, elles continuent d’enregistrer des scores plus faibles et des taux d’achèvement inférieurs au second cycle. De nombre</w:t>
      </w:r>
      <w:r w:rsidR="00D1479F">
        <w:rPr>
          <w:rFonts w:ascii="Aptos" w:hAnsi="Aptos"/>
        </w:rPr>
        <w:t xml:space="preserve">uses filles </w:t>
      </w:r>
      <w:r w:rsidRPr="00D401FA">
        <w:rPr>
          <w:rFonts w:ascii="Aptos" w:hAnsi="Aptos"/>
        </w:rPr>
        <w:t xml:space="preserve">quittent l’école prématurément en raison de contraintes économiques, de l’éloignement des établissements, des mariages précoces et des normes socioculturelles. Par ailleurs, les garçons se désengagent de plus en plus de l’enseignement formel, avec des taux d’achèvement du primaire plus faibles et des taux d’abandon plus élevés au secondaire. Beaucoup de garçons se tournent vers l’enseignement coranique (44 pour cent contre 29 pour cent pour les filles) ou entrent très tôt sur le marché du travail (12 pour cent contre 3 pour cent pour les filles), ce qui limite leurs perspectives d’emploi à long terme. Le système éducatif mauritanien fait face à trois obstacles critiques de gouvernance : une planification inefficace des infrastructures, une faible participation des communautés et un manque de coordination entre les parties prenantes. Le système d’information pour la gestion de l’éducation (SIGE, renommé SIRAGE), mis en place dans le cadre du Projet d’appui au secteur de l’éducation de base financé </w:t>
      </w:r>
      <w:r w:rsidR="00D1479F" w:rsidRPr="00D401FA">
        <w:rPr>
          <w:rFonts w:ascii="Aptos" w:hAnsi="Aptos"/>
        </w:rPr>
        <w:t>(P163143)</w:t>
      </w:r>
      <w:r w:rsidR="00D1479F">
        <w:rPr>
          <w:rFonts w:ascii="Aptos" w:hAnsi="Aptos"/>
        </w:rPr>
        <w:t xml:space="preserve"> </w:t>
      </w:r>
      <w:r w:rsidRPr="00D401FA">
        <w:rPr>
          <w:rFonts w:ascii="Aptos" w:hAnsi="Aptos"/>
        </w:rPr>
        <w:t xml:space="preserve">par la Banque mondiale, constitue un outil important pour la gestion du système éducatif et l’éclairage des décisions fondées sur les données. À ce jour, 58 pour cent des écoles restent incomplètes, ne disposant que de deux à quatre salles de classe au lieu des six requises et étant dépourvues d’équipements essentiels tels que l’eau, l’assainissement et l’électricité, ce qui nuit fortement aux conditions d’apprentissage et à la rétention des élèves. Le SIRAGE offre une précieuse </w:t>
      </w:r>
      <w:r w:rsidRPr="00D401FA">
        <w:rPr>
          <w:rFonts w:ascii="Aptos" w:hAnsi="Aptos"/>
        </w:rPr>
        <w:lastRenderedPageBreak/>
        <w:t xml:space="preserve">opportunité pour remédier à cette situation, notamment à travers l’exploitation de ses données et l’orientation des investissements afin de relancer la carte scolaire et de privilégier l’achèvement des écoles existantes ainsi qu’un déploiement efficace des enseignants. Pour faire face à ces défis cumulés, la Mauritanie a adopté en mars 2024 son troisième plan décennal pour le secteur de l’éducation. Le Programme national de développement du secteur de l’éducation (PNDSE) constitue le cadre de référence des politiques éducatives depuis 2000 et en est désormais à sa troisième phase. Les deux premières phases, PNDSE I (2001-2010) et PNDSE II (2011-2020), ont fait l’objet d’évaluations ayant conduit à l’élaboration du PNDSE III (2023-2030), axé sur l’amélioration de la qualité parallèlement à la promotion de l’élargissement de l’accès. En 2022, la </w:t>
      </w:r>
      <w:r w:rsidR="002F3BC6">
        <w:rPr>
          <w:rFonts w:ascii="Aptos" w:hAnsi="Aptos"/>
        </w:rPr>
        <w:t>l</w:t>
      </w:r>
      <w:r w:rsidRPr="00D401FA">
        <w:rPr>
          <w:rFonts w:ascii="Aptos" w:hAnsi="Aptos"/>
        </w:rPr>
        <w:t>oi d’orientation du système éducatif national a instauré dix années d’enseignement de base, incluant une année d’enseignement préscolaire, et garantit la scolarité obligatoire pour les enfants âgés de 6 à 15 ans. Par ailleurs, la Stratégie de croissance accélérée et de prospérité partagée (2021-2025) définit des objectifs stratégiques couvrant la période allant de la petite enfance à l’enseignement supérieur, incluant l’alphabétisation, l’enseignement traditionnel ainsi que la formation technique et professionnelle. Chaque sous-secteur s’articule autour de trois axes principaux : (a) promouvoir un accès équitable ; (b) renforcer la qualité de l’éducation ; et (c) améliorer la gestion et la gouvernance.</w:t>
      </w:r>
    </w:p>
    <w:p w14:paraId="02517A3B" w14:textId="77777777" w:rsidR="00BE5E0B" w:rsidRDefault="00BE5E0B">
      <w:pPr>
        <w:rPr>
          <w:rFonts w:ascii="Aptos" w:hAnsi="Aptos"/>
        </w:rPr>
      </w:pPr>
      <w:r>
        <w:rPr>
          <w:rFonts w:ascii="Aptos" w:hAnsi="Aptos"/>
        </w:rPr>
        <w:br w:type="page"/>
      </w:r>
    </w:p>
    <w:p w14:paraId="2ED2EB25" w14:textId="4F138C3B" w:rsidR="007C0020" w:rsidRPr="00D401FA" w:rsidRDefault="007C0020" w:rsidP="00BE5E0B">
      <w:pPr>
        <w:pStyle w:val="Heading1"/>
      </w:pPr>
      <w:bookmarkStart w:id="12" w:name="_Toc227686268"/>
      <w:bookmarkStart w:id="13" w:name="_Toc227686298"/>
      <w:bookmarkStart w:id="14" w:name="_Toc227686344"/>
      <w:r w:rsidRPr="00D401FA">
        <w:lastRenderedPageBreak/>
        <w:t>Description du Programme</w:t>
      </w:r>
      <w:bookmarkEnd w:id="12"/>
      <w:bookmarkEnd w:id="13"/>
      <w:bookmarkEnd w:id="14"/>
    </w:p>
    <w:p w14:paraId="6C93BD62" w14:textId="1E5D7F89" w:rsidR="007C0020" w:rsidRPr="00D401FA" w:rsidRDefault="007C0020" w:rsidP="00BE5E0B">
      <w:pPr>
        <w:pStyle w:val="Heading2"/>
      </w:pPr>
      <w:bookmarkStart w:id="15" w:name="_Toc227686269"/>
      <w:bookmarkStart w:id="16" w:name="_Toc227686299"/>
      <w:bookmarkStart w:id="17" w:name="_Toc227686345"/>
      <w:r w:rsidRPr="00D401FA">
        <w:t>Objectif de développement du programme (ODP)</w:t>
      </w:r>
      <w:bookmarkEnd w:id="15"/>
      <w:bookmarkEnd w:id="16"/>
      <w:bookmarkEnd w:id="17"/>
    </w:p>
    <w:p w14:paraId="7AD55BB9" w14:textId="07100498" w:rsidR="007C0020" w:rsidRPr="00D401FA" w:rsidRDefault="007C0020" w:rsidP="00216CAF">
      <w:pPr>
        <w:jc w:val="both"/>
        <w:rPr>
          <w:rFonts w:ascii="Aptos" w:hAnsi="Aptos"/>
        </w:rPr>
      </w:pPr>
      <w:r w:rsidRPr="00BE5E0B">
        <w:rPr>
          <w:rFonts w:ascii="Aptos" w:hAnsi="Aptos"/>
          <w:b/>
          <w:bCs/>
        </w:rPr>
        <w:t>L’objectif de développement du Programme</w:t>
      </w:r>
      <w:r w:rsidRPr="00D401FA">
        <w:rPr>
          <w:rFonts w:ascii="Aptos" w:hAnsi="Aptos"/>
        </w:rPr>
        <w:t xml:space="preserve"> </w:t>
      </w:r>
      <w:proofErr w:type="gramStart"/>
      <w:r w:rsidRPr="00D401FA">
        <w:rPr>
          <w:rFonts w:ascii="Aptos" w:hAnsi="Aptos"/>
        </w:rPr>
        <w:t xml:space="preserve">est </w:t>
      </w:r>
      <w:r w:rsidR="00592012">
        <w:rPr>
          <w:rFonts w:ascii="Aptos" w:hAnsi="Aptos"/>
        </w:rPr>
        <w:t xml:space="preserve"> </w:t>
      </w:r>
      <w:r w:rsidR="003F38BA">
        <w:rPr>
          <w:rFonts w:ascii="Aptos" w:hAnsi="Aptos"/>
        </w:rPr>
        <w:t>d’</w:t>
      </w:r>
      <w:r w:rsidR="00592012">
        <w:rPr>
          <w:rFonts w:ascii="Aptos" w:hAnsi="Aptos"/>
        </w:rPr>
        <w:t>a</w:t>
      </w:r>
      <w:r w:rsidR="00592012" w:rsidRPr="00592012">
        <w:rPr>
          <w:rFonts w:ascii="Aptos" w:hAnsi="Aptos"/>
        </w:rPr>
        <w:t>méliorer</w:t>
      </w:r>
      <w:proofErr w:type="gramEnd"/>
      <w:r w:rsidR="00592012" w:rsidRPr="00592012">
        <w:rPr>
          <w:rFonts w:ascii="Aptos" w:hAnsi="Aptos"/>
        </w:rPr>
        <w:t xml:space="preserve"> la qualité de l’enseignement de base et l’accès à l’enseignement secondaire, en mettant l’accent sur les adolescentes, et renforcer la prestation des services éducatifs dans les zones d’accueil de réfugiés.</w:t>
      </w:r>
    </w:p>
    <w:p w14:paraId="662CC39D" w14:textId="03F2607F" w:rsidR="007C0020" w:rsidRPr="00D401FA" w:rsidRDefault="007C0020" w:rsidP="00BE5E0B">
      <w:pPr>
        <w:pStyle w:val="Heading2"/>
      </w:pPr>
      <w:bookmarkStart w:id="18" w:name="_Toc227686270"/>
      <w:bookmarkStart w:id="19" w:name="_Toc227686300"/>
      <w:bookmarkStart w:id="20" w:name="_Toc227686346"/>
      <w:r w:rsidRPr="00D401FA">
        <w:t>Théorie du changement et indicateurs de l’ODP</w:t>
      </w:r>
      <w:bookmarkEnd w:id="18"/>
      <w:bookmarkEnd w:id="19"/>
      <w:bookmarkEnd w:id="20"/>
    </w:p>
    <w:p w14:paraId="5E593E2B" w14:textId="77777777" w:rsidR="007C0020" w:rsidRPr="00D401FA" w:rsidRDefault="007C0020" w:rsidP="00216CAF">
      <w:pPr>
        <w:jc w:val="both"/>
        <w:rPr>
          <w:rFonts w:ascii="Aptos" w:hAnsi="Aptos"/>
        </w:rPr>
      </w:pPr>
      <w:r w:rsidRPr="00BE5E0B">
        <w:rPr>
          <w:rFonts w:ascii="Aptos" w:hAnsi="Aptos"/>
          <w:b/>
          <w:bCs/>
        </w:rPr>
        <w:t>Le Programme (IQRAA) est conçu pour répondre aux défis spécifiques du secteur de l’éducation en Mauritanie décrits dans le contexte sectoriel, en améliorant la qualité de l’enseignement de base, en élargissant l’accès à l’enseignement secondaire pour les adolescentes et en renforçant la gouvernance</w:t>
      </w:r>
      <w:r w:rsidRPr="00D401FA">
        <w:rPr>
          <w:rFonts w:ascii="Aptos" w:hAnsi="Aptos"/>
        </w:rPr>
        <w:t>. La théorie du changement proposée du Programme fournit un cadre stratégique permettant de garantir que les investissements dans l’éducation se traduisent par des résultats mesurables, significatifs et vérifiables. Elle décrit les leviers de transformation conduisant à des résultats transformateurs, contribuant ainsi à un système éducatif plus inclusif et plus performant. En s’attaquant aux enjeux de qualité, d’accès et de gouvernance, le Programme vise à doter les individus, en particulier les filles, des compétences et des opportunités nécessaires à leur développement personnel et à leur participation économique. Il vise également à promouvoir l’inclusion sociale en réduisant les disparités en matière de résultats éducatifs et en renforçant le capital humain, permettant ainsi à la Mauritanie de tirer parti de sa population jeune pour une croissance économique inclusive et durable.</w:t>
      </w:r>
    </w:p>
    <w:p w14:paraId="20B2D330" w14:textId="77777777" w:rsidR="007C0020" w:rsidRPr="00D401FA" w:rsidRDefault="007C0020" w:rsidP="00216CAF">
      <w:pPr>
        <w:jc w:val="both"/>
        <w:rPr>
          <w:rFonts w:ascii="Aptos" w:hAnsi="Aptos"/>
        </w:rPr>
      </w:pPr>
      <w:r w:rsidRPr="00BE5E0B">
        <w:rPr>
          <w:rFonts w:ascii="Aptos" w:hAnsi="Aptos"/>
          <w:b/>
          <w:bCs/>
        </w:rPr>
        <w:t xml:space="preserve">Le Programme met l’accent sur trois défis interdépendants du système éducatif mauritanien. </w:t>
      </w:r>
      <w:r w:rsidRPr="00D401FA">
        <w:rPr>
          <w:rFonts w:ascii="Aptos" w:hAnsi="Aptos"/>
        </w:rPr>
        <w:t>Premièrement, la qualité de l’enseignement de base est compromise par un accès limité à l’éducation préscolaire, une insuffisance d’enseignants qualifiés et performants et des curricula inadaptés. Deuxièmement, les disparités de genre sont particulièrement marquées dans l’enseignement secondaire, les contraintes socioculturelles et économiques entraînant des taux d’abandon élevés, notamment en milieu rural. Troisièmement, la faiblesse de la gouvernance du secteur, caractérisée par une prise de décision insuffisamment fondée sur des données probantes, une coordination limitée et une faible participation des communautés, réduit l’efficacité globale du système éducatif.</w:t>
      </w:r>
    </w:p>
    <w:p w14:paraId="075C8A91" w14:textId="280A0A7C" w:rsidR="007C0020" w:rsidRPr="00D401FA" w:rsidRDefault="007C0020" w:rsidP="00216CAF">
      <w:pPr>
        <w:jc w:val="both"/>
        <w:rPr>
          <w:rFonts w:ascii="Aptos" w:hAnsi="Aptos"/>
        </w:rPr>
      </w:pPr>
      <w:r w:rsidRPr="00BE5E0B">
        <w:rPr>
          <w:rFonts w:ascii="Aptos" w:hAnsi="Aptos"/>
          <w:b/>
          <w:bCs/>
        </w:rPr>
        <w:t xml:space="preserve">Le Programme identifie des </w:t>
      </w:r>
      <w:r w:rsidR="00D1479F">
        <w:rPr>
          <w:rFonts w:ascii="Aptos" w:hAnsi="Aptos"/>
          <w:b/>
          <w:bCs/>
        </w:rPr>
        <w:t>voies critiques vers le changement</w:t>
      </w:r>
      <w:r w:rsidRPr="00BE5E0B">
        <w:rPr>
          <w:rFonts w:ascii="Aptos" w:hAnsi="Aptos"/>
          <w:b/>
          <w:bCs/>
        </w:rPr>
        <w:t xml:space="preserve"> à travers un ciblage resserré sur trois domaines de résultats clés.</w:t>
      </w:r>
      <w:r w:rsidRPr="00D401FA">
        <w:rPr>
          <w:rFonts w:ascii="Aptos" w:hAnsi="Aptos"/>
        </w:rPr>
        <w:t xml:space="preserve"> L’amélioration de la préparation des élèves à la scolarité, grâce à l’élargissement de l’accès à une éducation préscolaire de qualité, ainsi que le renforcement des capacités des enseignants et l’introduction d’outils pédagogiques modernes, devraient améliorer directement la qualité de l’enseignement </w:t>
      </w:r>
      <w:r w:rsidR="00D1479F">
        <w:rPr>
          <w:rFonts w:ascii="Aptos" w:hAnsi="Aptos"/>
        </w:rPr>
        <w:t xml:space="preserve">dispensé dans les </w:t>
      </w:r>
      <w:r w:rsidRPr="00D401FA">
        <w:rPr>
          <w:rFonts w:ascii="Aptos" w:hAnsi="Aptos"/>
        </w:rPr>
        <w:t>classe</w:t>
      </w:r>
      <w:r w:rsidR="00D1479F">
        <w:rPr>
          <w:rFonts w:ascii="Aptos" w:hAnsi="Aptos"/>
        </w:rPr>
        <w:t>s</w:t>
      </w:r>
      <w:r w:rsidRPr="00D401FA">
        <w:rPr>
          <w:rFonts w:ascii="Aptos" w:hAnsi="Aptos"/>
        </w:rPr>
        <w:t>. Le développement d’infrastructures scolaires sensibles au genre et la mise en place d’incitations financières devraient permettre de lever les contraintes structurelles et socioculturelles et ainsi améliorer l’accès à l’enseignement secondaire, en particulier pour les filles. Le renforcement des systèmes de données et de la participation communautaire devrait favoriser une prise de décision fondée sur des données probantes et améliorer la gouvernance du système éducatif.</w:t>
      </w:r>
    </w:p>
    <w:p w14:paraId="043CA403" w14:textId="18F87344" w:rsidR="007C0020" w:rsidRPr="00D401FA" w:rsidRDefault="007C0020" w:rsidP="00216CAF">
      <w:pPr>
        <w:jc w:val="both"/>
        <w:rPr>
          <w:rFonts w:ascii="Aptos" w:hAnsi="Aptos"/>
        </w:rPr>
      </w:pPr>
      <w:r w:rsidRPr="00BE5E0B">
        <w:rPr>
          <w:rFonts w:ascii="Aptos" w:hAnsi="Aptos"/>
          <w:b/>
          <w:bCs/>
        </w:rPr>
        <w:t>Les interventions du Programme devraient produire des résultats transformateurs</w:t>
      </w:r>
      <w:r w:rsidRPr="00D401FA">
        <w:rPr>
          <w:rFonts w:ascii="Aptos" w:hAnsi="Aptos"/>
        </w:rPr>
        <w:t xml:space="preserve">. Les résultats attendus comprennent notamment une augmentation annuelle des taux de maîtrise des compétences en </w:t>
      </w:r>
      <w:r w:rsidR="0011580E">
        <w:rPr>
          <w:rFonts w:ascii="Aptos" w:hAnsi="Aptos"/>
        </w:rPr>
        <w:t>littératie</w:t>
      </w:r>
      <w:r w:rsidRPr="00D401FA">
        <w:rPr>
          <w:rFonts w:ascii="Aptos" w:hAnsi="Aptos"/>
        </w:rPr>
        <w:t xml:space="preserve"> et en</w:t>
      </w:r>
      <w:r w:rsidR="0011580E">
        <w:rPr>
          <w:rFonts w:ascii="Aptos" w:hAnsi="Aptos"/>
        </w:rPr>
        <w:t xml:space="preserve"> numératie</w:t>
      </w:r>
      <w:r w:rsidRPr="00D401FA">
        <w:rPr>
          <w:rFonts w:ascii="Aptos" w:hAnsi="Aptos"/>
        </w:rPr>
        <w:t xml:space="preserve">, une hausse significative des taux d’inscription et </w:t>
      </w:r>
      <w:r w:rsidRPr="00D401FA">
        <w:rPr>
          <w:rFonts w:ascii="Aptos" w:hAnsi="Aptos"/>
        </w:rPr>
        <w:lastRenderedPageBreak/>
        <w:t xml:space="preserve">d’achèvement des filles dans l’enseignement secondaire, ainsi qu’une amélioration de la gouvernance et du </w:t>
      </w:r>
      <w:proofErr w:type="spellStart"/>
      <w:r w:rsidRPr="00D401FA">
        <w:rPr>
          <w:rFonts w:ascii="Aptos" w:hAnsi="Aptos"/>
        </w:rPr>
        <w:t>reporting</w:t>
      </w:r>
      <w:proofErr w:type="spellEnd"/>
      <w:r w:rsidRPr="00D401FA">
        <w:rPr>
          <w:rFonts w:ascii="Aptos" w:hAnsi="Aptos"/>
        </w:rPr>
        <w:t xml:space="preserve"> dans l’ensemble du secteur de l’éducation. La théorie du changement du Programme </w:t>
      </w:r>
      <w:r w:rsidR="0011580E">
        <w:rPr>
          <w:rFonts w:ascii="Aptos" w:hAnsi="Aptos"/>
        </w:rPr>
        <w:t>énonce</w:t>
      </w:r>
      <w:r w:rsidRPr="00D401FA">
        <w:rPr>
          <w:rFonts w:ascii="Aptos" w:hAnsi="Aptos"/>
        </w:rPr>
        <w:t xml:space="preserve"> toutefois les hypothèses critiques suivantes : (i) le maintien de l’engagement du Gouvernement en faveur de l’éducation et sa traduction en allocations budgétaires annuelles adéquates ; (ii) l’absence de dépriorisation budgétaire ad hoc du secteur de l’éducation en cours d’exécution ; (iii) la capacité des entités d’exécution (EE) à mettre en œuvre et suivre efficacement le Programme, ou leur capacité à développer ces compétences ; et (iv) le maintien de la stabilité politique malgré la volatilité du contexte régional.</w:t>
      </w:r>
    </w:p>
    <w:p w14:paraId="256CB792" w14:textId="77777777" w:rsidR="007C0020" w:rsidRPr="00BE5E0B" w:rsidRDefault="007C0020" w:rsidP="00216CAF">
      <w:pPr>
        <w:jc w:val="both"/>
        <w:rPr>
          <w:rFonts w:ascii="Aptos" w:hAnsi="Aptos"/>
          <w:b/>
          <w:bCs/>
        </w:rPr>
      </w:pPr>
      <w:r w:rsidRPr="00BE5E0B">
        <w:rPr>
          <w:rFonts w:ascii="Aptos" w:hAnsi="Aptos"/>
          <w:b/>
          <w:bCs/>
        </w:rPr>
        <w:t>Sur la base de la théorie du changement, les indicateurs suivants de l’ODP sont retenus :</w:t>
      </w:r>
    </w:p>
    <w:p w14:paraId="4001EA9C" w14:textId="77777777" w:rsidR="003A718E" w:rsidRPr="008A401B" w:rsidRDefault="003A718E" w:rsidP="008B048C">
      <w:pPr>
        <w:numPr>
          <w:ilvl w:val="0"/>
          <w:numId w:val="45"/>
        </w:numPr>
        <w:ind w:left="714" w:hanging="357"/>
        <w:contextualSpacing/>
        <w:jc w:val="both"/>
        <w:rPr>
          <w:rFonts w:ascii="Calibri" w:eastAsia="Calibri" w:hAnsi="Calibri" w:cs="Times New Roman"/>
          <w:b/>
          <w:bCs/>
          <w:i/>
          <w:iCs/>
        </w:rPr>
      </w:pPr>
      <w:r w:rsidRPr="008A401B">
        <w:rPr>
          <w:rFonts w:ascii="Calibri" w:eastAsia="Calibri" w:hAnsi="Calibri" w:cs="Times New Roman"/>
          <w:b/>
          <w:bCs/>
          <w:i/>
          <w:iCs/>
        </w:rPr>
        <w:t>Amélioration de la qualité de l’enseignement de base</w:t>
      </w:r>
    </w:p>
    <w:p w14:paraId="24924175" w14:textId="77777777" w:rsidR="003A718E" w:rsidRPr="008A401B" w:rsidRDefault="003A718E" w:rsidP="008B048C">
      <w:pPr>
        <w:numPr>
          <w:ilvl w:val="0"/>
          <w:numId w:val="42"/>
        </w:numPr>
        <w:tabs>
          <w:tab w:val="num" w:pos="1134"/>
        </w:tabs>
        <w:ind w:left="1418" w:hanging="709"/>
        <w:contextualSpacing/>
        <w:jc w:val="both"/>
        <w:rPr>
          <w:rFonts w:ascii="Calibri" w:eastAsia="Calibri" w:hAnsi="Calibri" w:cs="Times New Roman"/>
        </w:rPr>
      </w:pPr>
      <w:r w:rsidRPr="008A401B">
        <w:rPr>
          <w:rFonts w:ascii="Calibri" w:eastAsia="Calibri" w:hAnsi="Calibri" w:cs="Times New Roman"/>
        </w:rPr>
        <w:t>Élèves de 4</w:t>
      </w:r>
      <w:r w:rsidRPr="008A401B">
        <w:rPr>
          <w:rFonts w:ascii="Calibri" w:eastAsia="Calibri" w:hAnsi="Calibri" w:cs="Times New Roman"/>
          <w:vertAlign w:val="superscript"/>
        </w:rPr>
        <w:t>e</w:t>
      </w:r>
      <w:r w:rsidRPr="008A401B">
        <w:rPr>
          <w:rFonts w:ascii="Calibri" w:eastAsia="Calibri" w:hAnsi="Calibri" w:cs="Times New Roman"/>
        </w:rPr>
        <w:t xml:space="preserve"> année maîtrisant les compétences fondamentales en littératie et en numératie (ILD)</w:t>
      </w:r>
    </w:p>
    <w:p w14:paraId="19E5F6BB" w14:textId="77777777" w:rsidR="003A718E" w:rsidRPr="008A401B" w:rsidRDefault="003A718E" w:rsidP="008B048C">
      <w:pPr>
        <w:numPr>
          <w:ilvl w:val="0"/>
          <w:numId w:val="42"/>
        </w:numPr>
        <w:tabs>
          <w:tab w:val="num" w:pos="1134"/>
        </w:tabs>
        <w:ind w:left="1418" w:hanging="709"/>
        <w:contextualSpacing/>
        <w:jc w:val="both"/>
        <w:rPr>
          <w:rFonts w:ascii="Calibri" w:eastAsia="Calibri" w:hAnsi="Calibri" w:cs="Times New Roman"/>
        </w:rPr>
      </w:pPr>
      <w:r w:rsidRPr="008A401B">
        <w:rPr>
          <w:rFonts w:ascii="Calibri" w:eastAsia="Calibri" w:hAnsi="Calibri" w:cs="Times New Roman"/>
        </w:rPr>
        <w:t>Taux de transition du primaire vers le premier cycle du secondaire (désagrégé par sexe) (ILD)</w:t>
      </w:r>
    </w:p>
    <w:p w14:paraId="26371384" w14:textId="77777777" w:rsidR="003A718E" w:rsidRPr="008A401B" w:rsidRDefault="003A718E" w:rsidP="008B048C">
      <w:pPr>
        <w:numPr>
          <w:ilvl w:val="0"/>
          <w:numId w:val="43"/>
        </w:numPr>
        <w:ind w:left="714" w:hanging="357"/>
        <w:jc w:val="both"/>
        <w:rPr>
          <w:rFonts w:ascii="Calibri" w:eastAsia="Calibri" w:hAnsi="Calibri" w:cs="Times New Roman"/>
          <w:b/>
          <w:bCs/>
          <w:i/>
          <w:iCs/>
        </w:rPr>
      </w:pPr>
      <w:r w:rsidRPr="008A401B">
        <w:rPr>
          <w:rFonts w:ascii="Calibri" w:eastAsia="Calibri" w:hAnsi="Calibri" w:cs="Times New Roman"/>
          <w:b/>
          <w:bCs/>
          <w:i/>
          <w:iCs/>
        </w:rPr>
        <w:t>Amélioration de l’accès à l’enseignement secondaire, avec un accent sur les adolescentes</w:t>
      </w:r>
    </w:p>
    <w:p w14:paraId="29F46F8B" w14:textId="77777777" w:rsidR="003A718E" w:rsidRPr="008A401B" w:rsidRDefault="003A718E" w:rsidP="008B048C">
      <w:pPr>
        <w:numPr>
          <w:ilvl w:val="0"/>
          <w:numId w:val="42"/>
        </w:numPr>
        <w:tabs>
          <w:tab w:val="num" w:pos="1134"/>
        </w:tabs>
        <w:ind w:left="1418" w:hanging="709"/>
        <w:contextualSpacing/>
        <w:jc w:val="both"/>
        <w:rPr>
          <w:rFonts w:ascii="Calibri" w:eastAsia="Calibri" w:hAnsi="Calibri" w:cs="Times New Roman"/>
        </w:rPr>
      </w:pPr>
      <w:r w:rsidRPr="008A401B">
        <w:rPr>
          <w:rFonts w:ascii="Calibri" w:eastAsia="Calibri" w:hAnsi="Calibri" w:cs="Times New Roman"/>
        </w:rPr>
        <w:t>Taux de transition du premier cycle vers le second cycle du secondaire (désagrégé par sexe)</w:t>
      </w:r>
    </w:p>
    <w:p w14:paraId="2167F101" w14:textId="77777777" w:rsidR="003A718E" w:rsidRPr="008A401B" w:rsidRDefault="003A718E" w:rsidP="008B048C">
      <w:pPr>
        <w:numPr>
          <w:ilvl w:val="0"/>
          <w:numId w:val="42"/>
        </w:numPr>
        <w:tabs>
          <w:tab w:val="num" w:pos="1134"/>
        </w:tabs>
        <w:ind w:left="1418" w:hanging="709"/>
        <w:contextualSpacing/>
        <w:jc w:val="both"/>
        <w:rPr>
          <w:rFonts w:ascii="Calibri" w:eastAsia="Calibri" w:hAnsi="Calibri" w:cs="Times New Roman"/>
        </w:rPr>
      </w:pPr>
      <w:r w:rsidRPr="008A401B">
        <w:rPr>
          <w:rFonts w:ascii="Calibri" w:eastAsia="Calibri" w:hAnsi="Calibri" w:cs="Times New Roman"/>
        </w:rPr>
        <w:t>Taux d’achèvement du second cycle du secondaire pour les filles (ILD)</w:t>
      </w:r>
    </w:p>
    <w:p w14:paraId="2B956E1C" w14:textId="77777777" w:rsidR="003A718E" w:rsidRPr="008A401B" w:rsidRDefault="003A718E" w:rsidP="008B048C">
      <w:pPr>
        <w:numPr>
          <w:ilvl w:val="0"/>
          <w:numId w:val="44"/>
        </w:numPr>
        <w:ind w:left="714" w:hanging="357"/>
        <w:jc w:val="both"/>
        <w:rPr>
          <w:rFonts w:ascii="Calibri" w:eastAsia="Calibri" w:hAnsi="Calibri" w:cs="Times New Roman"/>
          <w:b/>
          <w:bCs/>
          <w:i/>
          <w:iCs/>
        </w:rPr>
      </w:pPr>
      <w:r w:rsidRPr="008A401B">
        <w:rPr>
          <w:rFonts w:ascii="Calibri" w:eastAsia="Calibri" w:hAnsi="Calibri" w:cs="Times New Roman"/>
          <w:b/>
          <w:bCs/>
          <w:i/>
          <w:iCs/>
        </w:rPr>
        <w:t>Renforcement de la prestation des services éducatifs dans les zones d’accueil de réfugiés</w:t>
      </w:r>
    </w:p>
    <w:p w14:paraId="1EADEB3C" w14:textId="77777777" w:rsidR="003A718E" w:rsidRPr="008A401B" w:rsidRDefault="003A718E" w:rsidP="008B048C">
      <w:pPr>
        <w:numPr>
          <w:ilvl w:val="0"/>
          <w:numId w:val="42"/>
        </w:numPr>
        <w:tabs>
          <w:tab w:val="num" w:pos="1134"/>
        </w:tabs>
        <w:ind w:left="1134" w:hanging="425"/>
        <w:contextualSpacing/>
        <w:jc w:val="both"/>
        <w:rPr>
          <w:rFonts w:ascii="Calibri" w:eastAsia="Calibri" w:hAnsi="Calibri" w:cs="Times New Roman"/>
        </w:rPr>
      </w:pPr>
      <w:r w:rsidRPr="008A401B">
        <w:rPr>
          <w:rFonts w:ascii="Calibri" w:eastAsia="Calibri" w:hAnsi="Calibri" w:cs="Times New Roman"/>
        </w:rPr>
        <w:t>Enfants réfugiés et enfants des communautés d’accueil scolarisés dans le système éducatif national dans les zones d’accueil de réfugiés (ILD)</w:t>
      </w:r>
    </w:p>
    <w:p w14:paraId="14475825" w14:textId="77777777" w:rsidR="00BE5E0B" w:rsidRDefault="00BE5E0B">
      <w:pPr>
        <w:rPr>
          <w:rFonts w:ascii="Aptos" w:hAnsi="Aptos" w:cs="Calibri"/>
        </w:rPr>
      </w:pPr>
      <w:r>
        <w:rPr>
          <w:rFonts w:ascii="Aptos" w:hAnsi="Aptos" w:cs="Calibri"/>
        </w:rPr>
        <w:br w:type="page"/>
      </w:r>
    </w:p>
    <w:p w14:paraId="77EC2343" w14:textId="0E6AB1ED" w:rsidR="007C0020" w:rsidRPr="00BE5E0B" w:rsidRDefault="007C0020" w:rsidP="00216CAF">
      <w:pPr>
        <w:autoSpaceDE w:val="0"/>
        <w:autoSpaceDN w:val="0"/>
        <w:adjustRightInd w:val="0"/>
        <w:spacing w:line="240" w:lineRule="auto"/>
        <w:jc w:val="both"/>
        <w:rPr>
          <w:rFonts w:ascii="Aptos" w:hAnsi="Aptos" w:cs="Calibri"/>
          <w:b/>
          <w:bCs/>
        </w:rPr>
      </w:pPr>
      <w:r w:rsidRPr="00BE5E0B">
        <w:rPr>
          <w:rFonts w:ascii="Aptos" w:hAnsi="Aptos" w:cs="Calibri"/>
          <w:b/>
          <w:bCs/>
        </w:rPr>
        <w:lastRenderedPageBreak/>
        <w:t>Figure 1</w:t>
      </w:r>
      <w:r w:rsidR="002F3BC6">
        <w:rPr>
          <w:rFonts w:ascii="Aptos" w:hAnsi="Aptos" w:cs="Calibri"/>
          <w:b/>
          <w:bCs/>
        </w:rPr>
        <w:t xml:space="preserve"> </w:t>
      </w:r>
      <w:r w:rsidRPr="00BE5E0B">
        <w:rPr>
          <w:rFonts w:ascii="Aptos" w:hAnsi="Aptos" w:cs="Calibri"/>
          <w:b/>
          <w:bCs/>
        </w:rPr>
        <w:t xml:space="preserve">: Théorie du changement </w:t>
      </w:r>
    </w:p>
    <w:p w14:paraId="2FBEF38A" w14:textId="14848F6B" w:rsidR="00743AB3" w:rsidRDefault="00743AB3">
      <w:pPr>
        <w:rPr>
          <w:rFonts w:ascii="Aptos" w:hAnsi="Aptos" w:cs="Calibri"/>
        </w:rPr>
      </w:pPr>
    </w:p>
    <w:p w14:paraId="0FE59DAD" w14:textId="77777777" w:rsidR="00743AB3" w:rsidRDefault="00743AB3">
      <w:pPr>
        <w:rPr>
          <w:rFonts w:ascii="Aptos" w:hAnsi="Aptos" w:cs="Calibri"/>
        </w:rPr>
      </w:pPr>
    </w:p>
    <w:p w14:paraId="6781D5B6" w14:textId="2E935888" w:rsidR="00BE5E0B" w:rsidRDefault="00CC5272">
      <w:pPr>
        <w:rPr>
          <w:rFonts w:ascii="Aptos" w:hAnsi="Aptos" w:cs="Calibri"/>
        </w:rPr>
      </w:pPr>
      <w:r w:rsidRPr="008A401B">
        <w:rPr>
          <w:rFonts w:ascii="Calibri" w:eastAsia="Calibri" w:hAnsi="Calibri" w:cs="Times New Roman"/>
          <w:b/>
          <w:bCs/>
          <w:noProof/>
        </w:rPr>
        <w:drawing>
          <wp:inline distT="0" distB="0" distL="0" distR="0" wp14:anchorId="65B829BA" wp14:editId="72B8777A">
            <wp:extent cx="5760720" cy="2948102"/>
            <wp:effectExtent l="0" t="0" r="0" b="5080"/>
            <wp:docPr id="146902846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28465" name=""/>
                    <pic:cNvPicPr/>
                  </pic:nvPicPr>
                  <pic:blipFill>
                    <a:blip r:embed="rId10"/>
                    <a:stretch>
                      <a:fillRect/>
                    </a:stretch>
                  </pic:blipFill>
                  <pic:spPr>
                    <a:xfrm>
                      <a:off x="0" y="0"/>
                      <a:ext cx="5760720" cy="2948102"/>
                    </a:xfrm>
                    <a:prstGeom prst="rect">
                      <a:avLst/>
                    </a:prstGeom>
                  </pic:spPr>
                </pic:pic>
              </a:graphicData>
            </a:graphic>
          </wp:inline>
        </w:drawing>
      </w:r>
      <w:r w:rsidR="00BE5E0B">
        <w:rPr>
          <w:rFonts w:ascii="Aptos" w:hAnsi="Aptos" w:cs="Calibri"/>
        </w:rPr>
        <w:br w:type="page"/>
      </w:r>
    </w:p>
    <w:p w14:paraId="5756C4CD" w14:textId="77777777" w:rsidR="00BE5E0B" w:rsidRDefault="001A3831" w:rsidP="00BE5E0B">
      <w:pPr>
        <w:pStyle w:val="Heading2"/>
      </w:pPr>
      <w:bookmarkStart w:id="21" w:name="_Toc227686271"/>
      <w:bookmarkStart w:id="22" w:name="_Toc227686301"/>
      <w:bookmarkStart w:id="23" w:name="_Toc227686347"/>
      <w:r w:rsidRPr="00D401FA">
        <w:lastRenderedPageBreak/>
        <w:t xml:space="preserve">Périmètre du Programme </w:t>
      </w:r>
      <w:proofErr w:type="spellStart"/>
      <w:r w:rsidRPr="00D401FA">
        <w:t>PforR</w:t>
      </w:r>
      <w:bookmarkEnd w:id="21"/>
      <w:bookmarkEnd w:id="22"/>
      <w:bookmarkEnd w:id="23"/>
      <w:proofErr w:type="spellEnd"/>
    </w:p>
    <w:p w14:paraId="7FA611FC" w14:textId="5EA7683D" w:rsidR="001A3831" w:rsidRPr="00BE5E0B" w:rsidRDefault="001A3831" w:rsidP="00BE5E0B">
      <w:pPr>
        <w:pStyle w:val="Heading3"/>
      </w:pPr>
      <w:r w:rsidRPr="00BE5E0B">
        <w:t xml:space="preserve"> </w:t>
      </w:r>
      <w:bookmarkStart w:id="24" w:name="_Toc227686302"/>
      <w:bookmarkStart w:id="25" w:name="_Toc227686348"/>
      <w:r w:rsidRPr="00BE5E0B">
        <w:t>Résumé du programme gouvernemental</w:t>
      </w:r>
      <w:bookmarkEnd w:id="24"/>
      <w:bookmarkEnd w:id="25"/>
    </w:p>
    <w:p w14:paraId="210CFC97" w14:textId="799BABFC" w:rsidR="001A3831" w:rsidRPr="00D401FA" w:rsidRDefault="001A3831" w:rsidP="00216CAF">
      <w:pPr>
        <w:autoSpaceDE w:val="0"/>
        <w:autoSpaceDN w:val="0"/>
        <w:adjustRightInd w:val="0"/>
        <w:spacing w:line="240" w:lineRule="auto"/>
        <w:jc w:val="both"/>
        <w:rPr>
          <w:rFonts w:ascii="Aptos" w:hAnsi="Aptos" w:cs="Calibri"/>
        </w:rPr>
      </w:pPr>
      <w:r w:rsidRPr="00BE5E0B">
        <w:rPr>
          <w:rFonts w:ascii="Aptos" w:hAnsi="Aptos" w:cs="Calibri"/>
          <w:b/>
          <w:bCs/>
        </w:rPr>
        <w:t xml:space="preserve">Afin d’accélérer la mise en œuvre du PNDSE III, le </w:t>
      </w:r>
      <w:r w:rsidR="0011580E">
        <w:rPr>
          <w:rFonts w:ascii="Aptos" w:hAnsi="Aptos" w:cs="Calibri"/>
          <w:b/>
          <w:bCs/>
        </w:rPr>
        <w:t>GdM</w:t>
      </w:r>
      <w:r w:rsidRPr="00BE5E0B">
        <w:rPr>
          <w:rFonts w:ascii="Aptos" w:hAnsi="Aptos" w:cs="Calibri"/>
          <w:b/>
          <w:bCs/>
        </w:rPr>
        <w:t xml:space="preserve"> a adopté le PPSA (2026-2030), qui fixe des objectifs ambitieux pour le secteur.</w:t>
      </w:r>
      <w:r w:rsidRPr="00D401FA">
        <w:rPr>
          <w:rFonts w:ascii="Aptos" w:hAnsi="Aptos" w:cs="Calibri"/>
        </w:rPr>
        <w:t xml:space="preserve"> Ce plan sectoriel prioritaire de l’éducation vise à accélérer l’atteinte des objectifs stratégiques du PNDSE III dans des domaines prioritaires définis</w:t>
      </w:r>
      <w:r w:rsidR="0011580E">
        <w:rPr>
          <w:rFonts w:ascii="Aptos" w:hAnsi="Aptos" w:cs="Calibri"/>
        </w:rPr>
        <w:t> </w:t>
      </w:r>
      <w:r w:rsidRPr="00D401FA">
        <w:rPr>
          <w:rFonts w:ascii="Aptos" w:hAnsi="Aptos" w:cs="Calibri"/>
        </w:rPr>
        <w:t>: (a) l’éducation préscolaire ; (b) la qualité de l’enseignement de base ; (c) l’élargissement de l’accès à l’enseignement secondaire ; et (d) l’amélioration de la gouvernance du secteur. Il prévoit notamment d’élargir la couverture d’une année d’éducation préscolaire de 5 à 50 pour cent des enfants concernés et de garantir un enseignement primaire obligatoire et gratuit. Le PPSA vise également à augmenter les taux de transition vers l’enseignement secondaire, en particulier pour les filles, grâce à la mise en place d’infrastructures éducatives sensibles au genre, au renforcement des dispositifs de soutien social et à la promotion de l’éducation inclusive. Les efforts seront axés sur l’amélioration de l’efficacité des enseignants et l’élargissement de l’accès aux programmes STEM. Cette approche globale vise à moderniser les méthodes d’apprentissage, améliorer les ressources pédagogiques et garantir de meilleures conditions d’hygiène et de santé en milieu scolaire. En s’attaquant aux causes profondes des faibles résultats d’apprentissage et en promouvant l’inclusion sociale, le programme entend réduire les disparités et doter les enfants des compétences nécessaires au développement économique et social de la Mauritanie. À terme, le programme vise à offrir de meilleures perspectives à tous les enfants mauritaniens, tout en veillant à ce qu’ils soient bien préparés à l’enseignement supérieur et à des opportunités d’emploi compétitives. En outre, le programme bénéficiera d’un financement additionnel du guichet IDA pour les communautés hôtes et les réfugiés (WHR), destiné à renforcer l’accès à l’éducation et la prestation de services dans les zones d’accueil de réfugiés, tout en soutenant l’intégration effective des enfants réfugiés dans le système éducatif national.</w:t>
      </w:r>
    </w:p>
    <w:p w14:paraId="0A42F311" w14:textId="080B5FF2" w:rsidR="001A3831" w:rsidRPr="00D401FA" w:rsidRDefault="001A3831" w:rsidP="00216CAF">
      <w:pPr>
        <w:autoSpaceDE w:val="0"/>
        <w:autoSpaceDN w:val="0"/>
        <w:adjustRightInd w:val="0"/>
        <w:spacing w:line="240" w:lineRule="auto"/>
        <w:jc w:val="both"/>
        <w:rPr>
          <w:rFonts w:ascii="Aptos" w:hAnsi="Aptos" w:cs="Calibri"/>
        </w:rPr>
      </w:pPr>
      <w:r w:rsidRPr="00BE5E0B">
        <w:rPr>
          <w:rFonts w:ascii="Aptos" w:hAnsi="Aptos" w:cs="Calibri"/>
          <w:b/>
          <w:bCs/>
        </w:rPr>
        <w:t>Pour atteindre ces objectifs, le PPSA reconnaît que le renforcement de la gouvernance du système éducatif est primordial</w:t>
      </w:r>
      <w:r w:rsidRPr="00D401FA">
        <w:rPr>
          <w:rFonts w:ascii="Aptos" w:hAnsi="Aptos" w:cs="Calibri"/>
        </w:rPr>
        <w:t xml:space="preserve">. Ce renforcement passera par davantage d’appui à la gestion participative au niveau des établissements scolaires, notamment à travers le renforcement des COGES, une plus grande implication des associations de parents d’élèves et la pleine opérationnalisation du système d’information pour la gestion de l’éducation (SIRAGE). Le secteur s’appuie sur un modèle de simulation pour </w:t>
      </w:r>
      <w:r w:rsidR="0011580E">
        <w:rPr>
          <w:rFonts w:ascii="Aptos" w:hAnsi="Aptos" w:cs="Calibri"/>
        </w:rPr>
        <w:t>établir</w:t>
      </w:r>
      <w:r w:rsidRPr="00D401FA">
        <w:rPr>
          <w:rFonts w:ascii="Aptos" w:hAnsi="Aptos" w:cs="Calibri"/>
        </w:rPr>
        <w:t xml:space="preserve"> les besoins en ressources financières et techniques, alimentant un cadre de dépenses à moyen terme, un plan d’action triennal budgétisé et une matrice de suivi assortie d’indicateurs de performance clairs, qui jettent les bases de la mise en œuvre future de budgets-programmes.</w:t>
      </w:r>
    </w:p>
    <w:p w14:paraId="0980D272" w14:textId="77777777" w:rsidR="0011580E" w:rsidRDefault="0011580E">
      <w:pPr>
        <w:rPr>
          <w:rFonts w:ascii="Aptos" w:hAnsi="Aptos" w:cs="Calibri"/>
          <w:b/>
          <w:bCs/>
        </w:rPr>
      </w:pPr>
      <w:bookmarkStart w:id="26" w:name="_Toc227686303"/>
      <w:bookmarkStart w:id="27" w:name="_Toc227686349"/>
      <w:r>
        <w:br w:type="page"/>
      </w:r>
    </w:p>
    <w:p w14:paraId="2F4CB519" w14:textId="2AE40AD8" w:rsidR="001A3831" w:rsidRPr="00D401FA" w:rsidRDefault="001A3831" w:rsidP="00BE5E0B">
      <w:pPr>
        <w:pStyle w:val="Heading3"/>
      </w:pPr>
      <w:r w:rsidRPr="00D401FA">
        <w:lastRenderedPageBreak/>
        <w:t>Périmètre du Programme et domaines de résultats</w:t>
      </w:r>
      <w:bookmarkEnd w:id="26"/>
      <w:bookmarkEnd w:id="27"/>
      <w:r w:rsidRPr="00D401FA">
        <w:t xml:space="preserve"> </w:t>
      </w:r>
    </w:p>
    <w:p w14:paraId="2CCC5248" w14:textId="4DD1FA58" w:rsidR="001A3831" w:rsidRDefault="001A3831" w:rsidP="00216CAF">
      <w:pPr>
        <w:jc w:val="both"/>
        <w:rPr>
          <w:rFonts w:ascii="Aptos" w:eastAsia="Calibri" w:hAnsi="Aptos" w:cs="Times New Roman"/>
          <w:b/>
          <w:bCs/>
        </w:rPr>
      </w:pPr>
      <w:r w:rsidRPr="00BE5E0B">
        <w:rPr>
          <w:rFonts w:ascii="Aptos" w:eastAsia="Calibri" w:hAnsi="Aptos" w:cs="Times New Roman"/>
          <w:b/>
          <w:bCs/>
        </w:rPr>
        <w:t>Tableau 1 : Périmètre du Programme axé sur les résultats (</w:t>
      </w:r>
      <w:proofErr w:type="spellStart"/>
      <w:r w:rsidRPr="00BE5E0B">
        <w:rPr>
          <w:rFonts w:ascii="Aptos" w:eastAsia="Calibri" w:hAnsi="Aptos" w:cs="Times New Roman"/>
          <w:b/>
          <w:bCs/>
        </w:rPr>
        <w:t>PforR</w:t>
      </w:r>
      <w:proofErr w:type="spellEnd"/>
      <w:r w:rsidRPr="00BE5E0B">
        <w:rPr>
          <w:rFonts w:ascii="Aptos" w:eastAsia="Calibri" w:hAnsi="Aptos" w:cs="Times New Roman"/>
          <w:b/>
          <w:bCs/>
        </w:rPr>
        <w:t>)</w:t>
      </w:r>
    </w:p>
    <w:tbl>
      <w:tblPr>
        <w:tblW w:w="9493" w:type="dxa"/>
        <w:jc w:val="center"/>
        <w:tblLook w:val="04A0" w:firstRow="1" w:lastRow="0" w:firstColumn="1" w:lastColumn="0" w:noHBand="0" w:noVBand="1"/>
      </w:tblPr>
      <w:tblGrid>
        <w:gridCol w:w="1454"/>
        <w:gridCol w:w="3372"/>
        <w:gridCol w:w="2925"/>
        <w:gridCol w:w="1742"/>
      </w:tblGrid>
      <w:tr w:rsidR="00580962" w:rsidRPr="00343C60" w:rsidDel="00580962" w14:paraId="39B1AE8F" w14:textId="77777777" w:rsidTr="00580962">
        <w:trPr>
          <w:trHeight w:val="170"/>
          <w:jc w:val="center"/>
        </w:trPr>
        <w:tc>
          <w:tcPr>
            <w:tcW w:w="1454" w:type="dxa"/>
            <w:tcBorders>
              <w:top w:val="nil"/>
              <w:left w:val="single" w:sz="4" w:space="0" w:color="000000"/>
              <w:bottom w:val="single" w:sz="4" w:space="0" w:color="000000"/>
              <w:right w:val="single" w:sz="8" w:space="0" w:color="D9D9D9"/>
            </w:tcBorders>
            <w:vAlign w:val="center"/>
          </w:tcPr>
          <w:p w14:paraId="08936C3D" w14:textId="77777777" w:rsidR="00580962" w:rsidRPr="00B8553C" w:rsidDel="00580962" w:rsidRDefault="00580962" w:rsidP="007D42AE">
            <w:pPr>
              <w:spacing w:before="120" w:line="240" w:lineRule="auto"/>
              <w:jc w:val="both"/>
              <w:rPr>
                <w:rFonts w:ascii="Aptos" w:eastAsia="SimSun" w:hAnsi="Aptos"/>
                <w:b/>
                <w:bCs/>
                <w:sz w:val="20"/>
                <w:szCs w:val="20"/>
              </w:rPr>
            </w:pPr>
          </w:p>
        </w:tc>
        <w:tc>
          <w:tcPr>
            <w:tcW w:w="3372" w:type="dxa"/>
            <w:tcBorders>
              <w:top w:val="nil"/>
              <w:left w:val="nil"/>
              <w:bottom w:val="single" w:sz="4" w:space="0" w:color="000000"/>
              <w:right w:val="single" w:sz="8" w:space="0" w:color="D9D9D9"/>
            </w:tcBorders>
            <w:vAlign w:val="center"/>
          </w:tcPr>
          <w:p w14:paraId="1AAC289E" w14:textId="77777777" w:rsidR="00580962" w:rsidRPr="00B8553C" w:rsidDel="00580962" w:rsidRDefault="00580962" w:rsidP="007D42AE">
            <w:pPr>
              <w:spacing w:before="120" w:line="240" w:lineRule="auto"/>
              <w:jc w:val="center"/>
              <w:rPr>
                <w:rFonts w:ascii="Aptos" w:eastAsia="SimSun" w:hAnsi="Aptos"/>
                <w:sz w:val="20"/>
                <w:szCs w:val="20"/>
              </w:rPr>
            </w:pPr>
          </w:p>
        </w:tc>
        <w:tc>
          <w:tcPr>
            <w:tcW w:w="2925" w:type="dxa"/>
            <w:tcBorders>
              <w:top w:val="nil"/>
              <w:left w:val="nil"/>
              <w:bottom w:val="single" w:sz="4" w:space="0" w:color="000000"/>
              <w:right w:val="single" w:sz="8" w:space="0" w:color="D9D9D9"/>
            </w:tcBorders>
            <w:vAlign w:val="center"/>
          </w:tcPr>
          <w:p w14:paraId="599F01AD" w14:textId="77777777" w:rsidR="00580962" w:rsidRPr="00B8553C" w:rsidDel="00580962" w:rsidRDefault="00580962" w:rsidP="007D42AE">
            <w:pPr>
              <w:spacing w:before="120" w:line="240" w:lineRule="auto"/>
              <w:jc w:val="center"/>
              <w:rPr>
                <w:rFonts w:ascii="Aptos" w:eastAsia="SimSun" w:hAnsi="Aptos"/>
                <w:sz w:val="20"/>
                <w:szCs w:val="20"/>
              </w:rPr>
            </w:pPr>
          </w:p>
        </w:tc>
        <w:tc>
          <w:tcPr>
            <w:tcW w:w="1742" w:type="dxa"/>
            <w:tcBorders>
              <w:top w:val="nil"/>
              <w:left w:val="nil"/>
              <w:bottom w:val="single" w:sz="4" w:space="0" w:color="000000"/>
              <w:right w:val="single" w:sz="4" w:space="0" w:color="000000"/>
            </w:tcBorders>
            <w:vAlign w:val="center"/>
          </w:tcPr>
          <w:p w14:paraId="4410203D" w14:textId="77777777" w:rsidR="00580962" w:rsidRPr="00B8553C" w:rsidDel="00580962" w:rsidRDefault="00580962" w:rsidP="007D42AE">
            <w:pPr>
              <w:spacing w:before="120" w:line="240" w:lineRule="auto"/>
              <w:jc w:val="center"/>
              <w:rPr>
                <w:rFonts w:ascii="Aptos" w:eastAsia="Times New Roman" w:hAnsi="Aptos" w:cstheme="minorHAnsi"/>
                <w:color w:val="000000"/>
                <w:sz w:val="20"/>
                <w:szCs w:val="20"/>
              </w:rPr>
            </w:pPr>
          </w:p>
        </w:tc>
      </w:tr>
    </w:tbl>
    <w:p w14:paraId="50C9E403" w14:textId="77777777" w:rsidR="00B8553C" w:rsidRPr="00D401FA" w:rsidRDefault="00B8553C" w:rsidP="00216CAF">
      <w:pPr>
        <w:jc w:val="both"/>
        <w:rPr>
          <w:rFonts w:ascii="Aptos" w:eastAsia="Calibri" w:hAnsi="Aptos" w:cs="Times New Roman"/>
        </w:rPr>
      </w:pPr>
    </w:p>
    <w:tbl>
      <w:tblPr>
        <w:tblW w:w="10824" w:type="dxa"/>
        <w:jc w:val="center"/>
        <w:tblLook w:val="04A0" w:firstRow="1" w:lastRow="0" w:firstColumn="1" w:lastColumn="0" w:noHBand="0" w:noVBand="1"/>
      </w:tblPr>
      <w:tblGrid>
        <w:gridCol w:w="1478"/>
        <w:gridCol w:w="4348"/>
        <w:gridCol w:w="3169"/>
        <w:gridCol w:w="1829"/>
      </w:tblGrid>
      <w:tr w:rsidR="00580962" w:rsidRPr="008A401B" w14:paraId="582B0A05" w14:textId="77777777" w:rsidTr="00F3373E">
        <w:trPr>
          <w:trHeight w:val="278"/>
          <w:jc w:val="center"/>
        </w:trPr>
        <w:tc>
          <w:tcPr>
            <w:tcW w:w="1478" w:type="dxa"/>
            <w:tcBorders>
              <w:top w:val="single" w:sz="4" w:space="0" w:color="000000"/>
              <w:left w:val="single" w:sz="4" w:space="0" w:color="000000"/>
              <w:bottom w:val="single" w:sz="8" w:space="0" w:color="D9D9D9"/>
              <w:right w:val="single" w:sz="8" w:space="0" w:color="D9D9D9"/>
            </w:tcBorders>
            <w:vAlign w:val="center"/>
            <w:hideMark/>
          </w:tcPr>
          <w:p w14:paraId="57A4F65E" w14:textId="77777777" w:rsidR="00580962" w:rsidRPr="008A401B" w:rsidRDefault="00580962" w:rsidP="00F3373E">
            <w:pPr>
              <w:spacing w:line="240" w:lineRule="auto"/>
              <w:jc w:val="both"/>
              <w:rPr>
                <w:rFonts w:ascii="Calibri" w:eastAsia="Times New Roman" w:hAnsi="Calibri" w:cs="Calibri"/>
                <w:color w:val="000000"/>
                <w:sz w:val="20"/>
                <w:szCs w:val="20"/>
              </w:rPr>
            </w:pPr>
            <w:r w:rsidRPr="008A401B">
              <w:rPr>
                <w:rFonts w:ascii="Calibri" w:eastAsia="Times New Roman" w:hAnsi="Calibri" w:cs="Calibri"/>
                <w:color w:val="000000"/>
                <w:sz w:val="20"/>
                <w:szCs w:val="20"/>
              </w:rPr>
              <w:t> </w:t>
            </w:r>
          </w:p>
        </w:tc>
        <w:tc>
          <w:tcPr>
            <w:tcW w:w="4348" w:type="dxa"/>
            <w:tcBorders>
              <w:top w:val="single" w:sz="4" w:space="0" w:color="000000"/>
              <w:left w:val="nil"/>
              <w:bottom w:val="single" w:sz="8" w:space="0" w:color="D9D9D9"/>
              <w:right w:val="single" w:sz="8" w:space="0" w:color="D9D9D9"/>
            </w:tcBorders>
            <w:vAlign w:val="center"/>
            <w:hideMark/>
          </w:tcPr>
          <w:p w14:paraId="6E8C65D0" w14:textId="77777777" w:rsidR="00580962" w:rsidRPr="008A401B" w:rsidRDefault="00580962" w:rsidP="00F3373E">
            <w:pPr>
              <w:spacing w:line="240" w:lineRule="auto"/>
              <w:jc w:val="both"/>
              <w:rPr>
                <w:rFonts w:ascii="Calibri" w:eastAsia="Times New Roman" w:hAnsi="Calibri" w:cs="Calibri"/>
                <w:b/>
                <w:bCs/>
                <w:color w:val="000000"/>
                <w:sz w:val="20"/>
                <w:szCs w:val="20"/>
              </w:rPr>
            </w:pPr>
            <w:r w:rsidRPr="008A401B">
              <w:rPr>
                <w:rFonts w:ascii="Calibri" w:eastAsia="Calibri" w:hAnsi="Calibri" w:cs="Times New Roman"/>
                <w:b/>
                <w:bCs/>
                <w:sz w:val="20"/>
                <w:szCs w:val="20"/>
              </w:rPr>
              <w:t>Programme gouvernemental - PPSA</w:t>
            </w:r>
          </w:p>
        </w:tc>
        <w:tc>
          <w:tcPr>
            <w:tcW w:w="3169" w:type="dxa"/>
            <w:tcBorders>
              <w:top w:val="single" w:sz="4" w:space="0" w:color="000000"/>
              <w:left w:val="nil"/>
              <w:bottom w:val="single" w:sz="8" w:space="0" w:color="D9D9D9"/>
              <w:right w:val="single" w:sz="8" w:space="0" w:color="D9D9D9"/>
            </w:tcBorders>
            <w:vAlign w:val="center"/>
            <w:hideMark/>
          </w:tcPr>
          <w:p w14:paraId="1B2ACB75" w14:textId="77777777" w:rsidR="00580962" w:rsidRPr="008A401B" w:rsidRDefault="00580962" w:rsidP="00F3373E">
            <w:pPr>
              <w:spacing w:line="240" w:lineRule="auto"/>
              <w:jc w:val="center"/>
              <w:rPr>
                <w:rFonts w:ascii="Calibri" w:eastAsia="Times New Roman" w:hAnsi="Calibri" w:cs="Calibri"/>
                <w:b/>
                <w:bCs/>
                <w:color w:val="000000"/>
                <w:sz w:val="20"/>
                <w:szCs w:val="20"/>
              </w:rPr>
            </w:pPr>
            <w:r w:rsidRPr="008A401B">
              <w:rPr>
                <w:rFonts w:ascii="Calibri" w:eastAsia="Calibri" w:hAnsi="Calibri" w:cs="Times New Roman"/>
                <w:b/>
                <w:bCs/>
                <w:sz w:val="20"/>
                <w:szCs w:val="20"/>
              </w:rPr>
              <w:t xml:space="preserve">Programme soutenu par le </w:t>
            </w:r>
            <w:proofErr w:type="spellStart"/>
            <w:r w:rsidRPr="008A401B">
              <w:rPr>
                <w:rFonts w:ascii="Calibri" w:eastAsia="Calibri" w:hAnsi="Calibri" w:cs="Times New Roman"/>
                <w:b/>
                <w:bCs/>
                <w:sz w:val="20"/>
                <w:szCs w:val="20"/>
              </w:rPr>
              <w:t>PforR</w:t>
            </w:r>
            <w:proofErr w:type="spellEnd"/>
          </w:p>
        </w:tc>
        <w:tc>
          <w:tcPr>
            <w:tcW w:w="1829" w:type="dxa"/>
            <w:tcBorders>
              <w:top w:val="single" w:sz="4" w:space="0" w:color="000000"/>
              <w:left w:val="nil"/>
              <w:bottom w:val="single" w:sz="8" w:space="0" w:color="D9D9D9"/>
              <w:right w:val="single" w:sz="4" w:space="0" w:color="000000"/>
            </w:tcBorders>
            <w:vAlign w:val="center"/>
            <w:hideMark/>
          </w:tcPr>
          <w:p w14:paraId="53CC1AC0" w14:textId="77777777" w:rsidR="00580962" w:rsidRPr="008A401B" w:rsidRDefault="00580962" w:rsidP="00F3373E">
            <w:pPr>
              <w:spacing w:line="240" w:lineRule="auto"/>
              <w:jc w:val="center"/>
              <w:rPr>
                <w:rFonts w:ascii="Calibri" w:eastAsia="Times New Roman" w:hAnsi="Calibri" w:cs="Calibri"/>
                <w:b/>
                <w:bCs/>
                <w:color w:val="000000"/>
                <w:sz w:val="20"/>
                <w:szCs w:val="20"/>
              </w:rPr>
            </w:pPr>
            <w:r w:rsidRPr="008A401B">
              <w:rPr>
                <w:rFonts w:ascii="Calibri" w:eastAsia="Calibri" w:hAnsi="Calibri" w:cs="Times New Roman"/>
                <w:b/>
                <w:bCs/>
                <w:sz w:val="20"/>
                <w:szCs w:val="20"/>
              </w:rPr>
              <w:t>Alignement</w:t>
            </w:r>
          </w:p>
        </w:tc>
      </w:tr>
      <w:tr w:rsidR="00580962" w:rsidRPr="008A401B" w14:paraId="59729C31" w14:textId="77777777" w:rsidTr="00F3373E">
        <w:trPr>
          <w:trHeight w:val="1037"/>
          <w:jc w:val="center"/>
        </w:trPr>
        <w:tc>
          <w:tcPr>
            <w:tcW w:w="1478" w:type="dxa"/>
            <w:tcBorders>
              <w:top w:val="nil"/>
              <w:left w:val="single" w:sz="4" w:space="0" w:color="000000"/>
              <w:bottom w:val="single" w:sz="8" w:space="0" w:color="D9D9D9"/>
              <w:right w:val="single" w:sz="8" w:space="0" w:color="D9D9D9"/>
            </w:tcBorders>
            <w:vAlign w:val="center"/>
            <w:hideMark/>
          </w:tcPr>
          <w:p w14:paraId="062C4C98" w14:textId="77777777" w:rsidR="00580962" w:rsidRPr="008A401B" w:rsidRDefault="00580962" w:rsidP="00F3373E">
            <w:pPr>
              <w:spacing w:line="240" w:lineRule="auto"/>
              <w:jc w:val="both"/>
              <w:rPr>
                <w:rFonts w:ascii="Calibri" w:eastAsia="Times New Roman" w:hAnsi="Calibri" w:cs="Calibri"/>
                <w:b/>
                <w:bCs/>
                <w:color w:val="000000"/>
                <w:sz w:val="20"/>
                <w:szCs w:val="20"/>
              </w:rPr>
            </w:pPr>
            <w:r w:rsidRPr="008A401B">
              <w:rPr>
                <w:rFonts w:ascii="Calibri" w:eastAsia="Calibri" w:hAnsi="Calibri" w:cs="Times New Roman"/>
                <w:b/>
                <w:bCs/>
                <w:sz w:val="20"/>
                <w:szCs w:val="20"/>
              </w:rPr>
              <w:t>Objectif</w:t>
            </w:r>
            <w:r w:rsidRPr="008A401B">
              <w:rPr>
                <w:rFonts w:ascii="Calibri" w:eastAsia="Calibri" w:hAnsi="Calibri" w:cs="Times New Roman"/>
                <w:sz w:val="20"/>
                <w:szCs w:val="20"/>
              </w:rPr>
              <w:t xml:space="preserve"> :</w:t>
            </w:r>
          </w:p>
        </w:tc>
        <w:tc>
          <w:tcPr>
            <w:tcW w:w="4348" w:type="dxa"/>
            <w:tcBorders>
              <w:top w:val="nil"/>
              <w:left w:val="nil"/>
              <w:bottom w:val="single" w:sz="8" w:space="0" w:color="D9D9D9"/>
              <w:right w:val="single" w:sz="8" w:space="0" w:color="D9D9D9"/>
            </w:tcBorders>
            <w:vAlign w:val="center"/>
            <w:hideMark/>
          </w:tcPr>
          <w:p w14:paraId="6C831079" w14:textId="77777777" w:rsidR="00580962" w:rsidRPr="008A401B" w:rsidRDefault="00580962" w:rsidP="00F3373E">
            <w:pPr>
              <w:spacing w:line="240" w:lineRule="auto"/>
              <w:rPr>
                <w:rFonts w:ascii="Calibri" w:eastAsia="Times New Roman" w:hAnsi="Calibri" w:cs="Calibri"/>
                <w:color w:val="000000"/>
                <w:sz w:val="20"/>
                <w:szCs w:val="20"/>
              </w:rPr>
            </w:pPr>
            <w:r w:rsidRPr="008A401B">
              <w:rPr>
                <w:rFonts w:ascii="Calibri" w:eastAsia="Calibri" w:hAnsi="Calibri" w:cs="Times New Roman"/>
                <w:sz w:val="20"/>
                <w:szCs w:val="20"/>
              </w:rPr>
              <w:t>Améliorer l’inclusion et la qualité de l’enseignement préscolaire et primaire, relever le niveau des apprentissages au premier cycle du secondaire et élargir l’accès au second cycle du secondaire, en particulier pour les filles et en milieu rural.</w:t>
            </w:r>
          </w:p>
        </w:tc>
        <w:tc>
          <w:tcPr>
            <w:tcW w:w="3169" w:type="dxa"/>
            <w:tcBorders>
              <w:top w:val="nil"/>
              <w:left w:val="nil"/>
              <w:bottom w:val="single" w:sz="8" w:space="0" w:color="D9D9D9"/>
              <w:right w:val="single" w:sz="8" w:space="0" w:color="D9D9D9"/>
            </w:tcBorders>
            <w:vAlign w:val="center"/>
            <w:hideMark/>
          </w:tcPr>
          <w:p w14:paraId="7B1BE711" w14:textId="77777777" w:rsidR="00580962" w:rsidRPr="008A401B" w:rsidRDefault="00580962" w:rsidP="00F3373E">
            <w:pPr>
              <w:spacing w:line="240" w:lineRule="auto"/>
              <w:rPr>
                <w:rFonts w:ascii="Calibri" w:eastAsia="Times New Roman" w:hAnsi="Calibri" w:cs="Calibri"/>
                <w:color w:val="000000"/>
                <w:sz w:val="20"/>
                <w:szCs w:val="20"/>
              </w:rPr>
            </w:pPr>
            <w:r w:rsidRPr="008A401B">
              <w:rPr>
                <w:rFonts w:ascii="Calibri" w:eastAsia="Calibri" w:hAnsi="Calibri" w:cs="Times New Roman"/>
                <w:b/>
                <w:bCs/>
                <w:sz w:val="20"/>
                <w:szCs w:val="20"/>
              </w:rPr>
              <w:t>Objectif</w:t>
            </w:r>
            <w:r w:rsidRPr="008A401B">
              <w:rPr>
                <w:rFonts w:ascii="Calibri" w:eastAsia="Calibri" w:hAnsi="Calibri" w:cs="Times New Roman"/>
                <w:sz w:val="20"/>
                <w:szCs w:val="20"/>
              </w:rPr>
              <w:t xml:space="preserve"> : Améliorer la qualité de l’enseignement de base et l’accès à l’enseignement secondaire, en mettant l’accent sur les adolescentes, et renforcer la prestation des services éducatifs dans les zones d’accueil de réfugiés.</w:t>
            </w:r>
          </w:p>
        </w:tc>
        <w:tc>
          <w:tcPr>
            <w:tcW w:w="1829" w:type="dxa"/>
            <w:tcBorders>
              <w:top w:val="nil"/>
              <w:left w:val="nil"/>
              <w:bottom w:val="single" w:sz="8" w:space="0" w:color="D9D9D9"/>
              <w:right w:val="single" w:sz="4" w:space="0" w:color="000000"/>
            </w:tcBorders>
            <w:vAlign w:val="center"/>
            <w:hideMark/>
          </w:tcPr>
          <w:p w14:paraId="787C73C7" w14:textId="77777777" w:rsidR="00580962" w:rsidRPr="008A401B" w:rsidRDefault="00580962" w:rsidP="00F3373E">
            <w:pPr>
              <w:spacing w:line="240" w:lineRule="auto"/>
              <w:jc w:val="center"/>
              <w:rPr>
                <w:rFonts w:ascii="Calibri" w:eastAsia="Times New Roman" w:hAnsi="Calibri" w:cs="Calibri"/>
                <w:color w:val="000000"/>
                <w:sz w:val="20"/>
                <w:szCs w:val="20"/>
              </w:rPr>
            </w:pPr>
            <w:r w:rsidRPr="008A401B">
              <w:rPr>
                <w:rFonts w:ascii="Calibri" w:eastAsia="Calibri" w:hAnsi="Calibri" w:cs="Times New Roman"/>
                <w:sz w:val="20"/>
                <w:szCs w:val="20"/>
              </w:rPr>
              <w:t>Pleinement aligné</w:t>
            </w:r>
          </w:p>
        </w:tc>
      </w:tr>
      <w:tr w:rsidR="00580962" w:rsidRPr="008A401B" w14:paraId="1D819395" w14:textId="77777777" w:rsidTr="00F3373E">
        <w:trPr>
          <w:trHeight w:val="176"/>
          <w:jc w:val="center"/>
        </w:trPr>
        <w:tc>
          <w:tcPr>
            <w:tcW w:w="1478" w:type="dxa"/>
            <w:tcBorders>
              <w:top w:val="nil"/>
              <w:left w:val="single" w:sz="4" w:space="0" w:color="000000"/>
              <w:bottom w:val="single" w:sz="8" w:space="0" w:color="D9D9D9"/>
              <w:right w:val="single" w:sz="8" w:space="0" w:color="D9D9D9"/>
            </w:tcBorders>
            <w:vAlign w:val="center"/>
            <w:hideMark/>
          </w:tcPr>
          <w:p w14:paraId="1CDEEA3B" w14:textId="77777777" w:rsidR="00580962" w:rsidRPr="008A401B" w:rsidRDefault="00580962" w:rsidP="00F3373E">
            <w:pPr>
              <w:spacing w:line="240" w:lineRule="auto"/>
              <w:jc w:val="both"/>
              <w:rPr>
                <w:rFonts w:ascii="Calibri" w:eastAsia="Times New Roman" w:hAnsi="Calibri" w:cs="Calibri"/>
                <w:b/>
                <w:bCs/>
                <w:color w:val="000000"/>
                <w:sz w:val="20"/>
                <w:szCs w:val="20"/>
              </w:rPr>
            </w:pPr>
            <w:r w:rsidRPr="008A401B">
              <w:rPr>
                <w:rFonts w:ascii="Calibri" w:eastAsia="Calibri" w:hAnsi="Calibri" w:cs="Times New Roman"/>
                <w:b/>
                <w:bCs/>
                <w:sz w:val="20"/>
                <w:szCs w:val="20"/>
              </w:rPr>
              <w:t>Durée</w:t>
            </w:r>
          </w:p>
        </w:tc>
        <w:tc>
          <w:tcPr>
            <w:tcW w:w="4348" w:type="dxa"/>
            <w:tcBorders>
              <w:top w:val="nil"/>
              <w:left w:val="nil"/>
              <w:bottom w:val="single" w:sz="8" w:space="0" w:color="D9D9D9"/>
              <w:right w:val="single" w:sz="8" w:space="0" w:color="D9D9D9"/>
            </w:tcBorders>
            <w:vAlign w:val="center"/>
            <w:hideMark/>
          </w:tcPr>
          <w:p w14:paraId="2ECC9886" w14:textId="77777777" w:rsidR="00580962" w:rsidRPr="008A401B" w:rsidRDefault="00580962" w:rsidP="00F3373E">
            <w:pPr>
              <w:spacing w:line="240" w:lineRule="auto"/>
              <w:jc w:val="center"/>
              <w:rPr>
                <w:rFonts w:ascii="Calibri" w:eastAsia="Times New Roman" w:hAnsi="Calibri" w:cs="Calibri"/>
                <w:color w:val="000000"/>
                <w:sz w:val="20"/>
                <w:szCs w:val="20"/>
              </w:rPr>
            </w:pPr>
            <w:r w:rsidRPr="008A401B">
              <w:rPr>
                <w:rFonts w:ascii="Calibri" w:eastAsia="Calibri" w:hAnsi="Calibri" w:cs="Times New Roman"/>
                <w:sz w:val="20"/>
                <w:szCs w:val="20"/>
              </w:rPr>
              <w:t>2026-2030</w:t>
            </w:r>
          </w:p>
        </w:tc>
        <w:tc>
          <w:tcPr>
            <w:tcW w:w="3169" w:type="dxa"/>
            <w:tcBorders>
              <w:top w:val="nil"/>
              <w:left w:val="nil"/>
              <w:bottom w:val="single" w:sz="8" w:space="0" w:color="D9D9D9"/>
              <w:right w:val="single" w:sz="8" w:space="0" w:color="D9D9D9"/>
            </w:tcBorders>
            <w:vAlign w:val="center"/>
            <w:hideMark/>
          </w:tcPr>
          <w:p w14:paraId="7A042445" w14:textId="77777777" w:rsidR="00580962" w:rsidRPr="008A401B" w:rsidRDefault="00580962" w:rsidP="00F3373E">
            <w:pPr>
              <w:spacing w:line="240" w:lineRule="auto"/>
              <w:jc w:val="center"/>
              <w:rPr>
                <w:rFonts w:ascii="Calibri" w:eastAsia="Times New Roman" w:hAnsi="Calibri" w:cs="Calibri"/>
                <w:color w:val="000000"/>
                <w:sz w:val="20"/>
                <w:szCs w:val="20"/>
              </w:rPr>
            </w:pPr>
            <w:r w:rsidRPr="008A401B">
              <w:rPr>
                <w:rFonts w:ascii="Calibri" w:eastAsia="Calibri" w:hAnsi="Calibri" w:cs="Times New Roman"/>
                <w:sz w:val="20"/>
                <w:szCs w:val="20"/>
              </w:rPr>
              <w:t>2026-2030</w:t>
            </w:r>
          </w:p>
        </w:tc>
        <w:tc>
          <w:tcPr>
            <w:tcW w:w="1829" w:type="dxa"/>
            <w:tcBorders>
              <w:top w:val="nil"/>
              <w:left w:val="nil"/>
              <w:bottom w:val="single" w:sz="8" w:space="0" w:color="D9D9D9"/>
              <w:right w:val="single" w:sz="4" w:space="0" w:color="000000"/>
            </w:tcBorders>
            <w:vAlign w:val="center"/>
            <w:hideMark/>
          </w:tcPr>
          <w:p w14:paraId="0BF051DF" w14:textId="77777777" w:rsidR="00580962" w:rsidRPr="008A401B" w:rsidRDefault="00580962" w:rsidP="00F3373E">
            <w:pPr>
              <w:spacing w:line="240" w:lineRule="auto"/>
              <w:jc w:val="center"/>
              <w:rPr>
                <w:rFonts w:ascii="Calibri" w:eastAsia="Times New Roman" w:hAnsi="Calibri" w:cs="Calibri"/>
                <w:color w:val="000000"/>
                <w:sz w:val="20"/>
                <w:szCs w:val="20"/>
              </w:rPr>
            </w:pPr>
            <w:r w:rsidRPr="008A401B">
              <w:rPr>
                <w:rFonts w:ascii="Calibri" w:eastAsia="Calibri" w:hAnsi="Calibri" w:cs="Times New Roman"/>
                <w:sz w:val="20"/>
                <w:szCs w:val="20"/>
              </w:rPr>
              <w:t>Pleinement aligné</w:t>
            </w:r>
          </w:p>
        </w:tc>
      </w:tr>
      <w:tr w:rsidR="00580962" w:rsidRPr="008A401B" w14:paraId="67D41D9F" w14:textId="77777777" w:rsidTr="00F3373E">
        <w:trPr>
          <w:trHeight w:val="331"/>
          <w:jc w:val="center"/>
        </w:trPr>
        <w:tc>
          <w:tcPr>
            <w:tcW w:w="1478" w:type="dxa"/>
            <w:tcBorders>
              <w:top w:val="nil"/>
              <w:left w:val="single" w:sz="4" w:space="0" w:color="000000"/>
              <w:bottom w:val="single" w:sz="8" w:space="0" w:color="D9D9D9"/>
              <w:right w:val="single" w:sz="8" w:space="0" w:color="D9D9D9"/>
            </w:tcBorders>
            <w:vAlign w:val="center"/>
            <w:hideMark/>
          </w:tcPr>
          <w:p w14:paraId="0F077E1E" w14:textId="77777777" w:rsidR="00580962" w:rsidRPr="008A401B" w:rsidRDefault="00580962" w:rsidP="00F3373E">
            <w:pPr>
              <w:spacing w:line="240" w:lineRule="auto"/>
              <w:jc w:val="both"/>
              <w:rPr>
                <w:rFonts w:ascii="Calibri" w:eastAsia="Times New Roman" w:hAnsi="Calibri" w:cs="Calibri"/>
                <w:b/>
                <w:bCs/>
                <w:color w:val="000000"/>
                <w:sz w:val="20"/>
                <w:szCs w:val="20"/>
              </w:rPr>
            </w:pPr>
            <w:r w:rsidRPr="008A401B">
              <w:rPr>
                <w:rFonts w:ascii="Calibri" w:eastAsia="Calibri" w:hAnsi="Calibri" w:cs="Times New Roman"/>
                <w:b/>
                <w:bCs/>
                <w:sz w:val="20"/>
                <w:szCs w:val="20"/>
              </w:rPr>
              <w:t>Portée géographique</w:t>
            </w:r>
          </w:p>
        </w:tc>
        <w:tc>
          <w:tcPr>
            <w:tcW w:w="4348" w:type="dxa"/>
            <w:tcBorders>
              <w:top w:val="nil"/>
              <w:left w:val="nil"/>
              <w:bottom w:val="single" w:sz="8" w:space="0" w:color="D9D9D9"/>
              <w:right w:val="single" w:sz="8" w:space="0" w:color="D9D9D9"/>
            </w:tcBorders>
            <w:vAlign w:val="center"/>
            <w:hideMark/>
          </w:tcPr>
          <w:p w14:paraId="2D7E0736" w14:textId="77777777" w:rsidR="00580962" w:rsidRPr="008A401B" w:rsidRDefault="00580962" w:rsidP="00F3373E">
            <w:pPr>
              <w:spacing w:line="240" w:lineRule="auto"/>
              <w:jc w:val="center"/>
              <w:rPr>
                <w:rFonts w:ascii="Calibri" w:eastAsia="Times New Roman" w:hAnsi="Calibri" w:cs="Calibri"/>
                <w:color w:val="000000"/>
                <w:sz w:val="20"/>
                <w:szCs w:val="20"/>
              </w:rPr>
            </w:pPr>
            <w:r w:rsidRPr="008A401B">
              <w:rPr>
                <w:rFonts w:ascii="Calibri" w:eastAsia="Calibri" w:hAnsi="Calibri" w:cs="Times New Roman"/>
                <w:sz w:val="20"/>
                <w:szCs w:val="20"/>
              </w:rPr>
              <w:t>Nationale</w:t>
            </w:r>
          </w:p>
        </w:tc>
        <w:tc>
          <w:tcPr>
            <w:tcW w:w="3169" w:type="dxa"/>
            <w:tcBorders>
              <w:top w:val="nil"/>
              <w:left w:val="nil"/>
              <w:bottom w:val="single" w:sz="8" w:space="0" w:color="D9D9D9"/>
              <w:right w:val="single" w:sz="8" w:space="0" w:color="D9D9D9"/>
            </w:tcBorders>
            <w:vAlign w:val="center"/>
            <w:hideMark/>
          </w:tcPr>
          <w:p w14:paraId="56E772F0" w14:textId="77777777" w:rsidR="00580962" w:rsidRPr="008A401B" w:rsidRDefault="00580962" w:rsidP="00F3373E">
            <w:pPr>
              <w:spacing w:line="240" w:lineRule="auto"/>
              <w:jc w:val="center"/>
              <w:rPr>
                <w:rFonts w:ascii="Calibri" w:eastAsia="Times New Roman" w:hAnsi="Calibri" w:cs="Calibri"/>
                <w:color w:val="000000"/>
                <w:sz w:val="20"/>
                <w:szCs w:val="20"/>
              </w:rPr>
            </w:pPr>
            <w:r w:rsidRPr="008A401B">
              <w:rPr>
                <w:rFonts w:ascii="Calibri" w:eastAsia="Calibri" w:hAnsi="Calibri" w:cs="Times New Roman"/>
                <w:sz w:val="20"/>
                <w:szCs w:val="20"/>
              </w:rPr>
              <w:t>Nationale</w:t>
            </w:r>
          </w:p>
        </w:tc>
        <w:tc>
          <w:tcPr>
            <w:tcW w:w="1829" w:type="dxa"/>
            <w:tcBorders>
              <w:top w:val="nil"/>
              <w:left w:val="nil"/>
              <w:bottom w:val="single" w:sz="8" w:space="0" w:color="D9D9D9"/>
              <w:right w:val="single" w:sz="4" w:space="0" w:color="000000"/>
            </w:tcBorders>
            <w:vAlign w:val="center"/>
            <w:hideMark/>
          </w:tcPr>
          <w:p w14:paraId="0831569B" w14:textId="77777777" w:rsidR="00580962" w:rsidRPr="008A401B" w:rsidRDefault="00580962" w:rsidP="00F3373E">
            <w:pPr>
              <w:spacing w:line="240" w:lineRule="auto"/>
              <w:jc w:val="center"/>
              <w:rPr>
                <w:rFonts w:ascii="Calibri" w:eastAsia="Times New Roman" w:hAnsi="Calibri" w:cs="Calibri"/>
                <w:color w:val="000000"/>
                <w:sz w:val="20"/>
                <w:szCs w:val="20"/>
              </w:rPr>
            </w:pPr>
            <w:r w:rsidRPr="008A401B">
              <w:rPr>
                <w:rFonts w:ascii="Calibri" w:eastAsia="Calibri" w:hAnsi="Calibri" w:cs="Times New Roman"/>
                <w:sz w:val="20"/>
                <w:szCs w:val="20"/>
              </w:rPr>
              <w:t>Pleinement aligné</w:t>
            </w:r>
          </w:p>
        </w:tc>
      </w:tr>
      <w:tr w:rsidR="00580962" w:rsidRPr="008A401B" w14:paraId="111877F3" w14:textId="77777777" w:rsidTr="00F3373E">
        <w:trPr>
          <w:trHeight w:val="1033"/>
          <w:jc w:val="center"/>
        </w:trPr>
        <w:tc>
          <w:tcPr>
            <w:tcW w:w="1478" w:type="dxa"/>
            <w:vMerge w:val="restart"/>
            <w:tcBorders>
              <w:top w:val="nil"/>
              <w:left w:val="single" w:sz="4" w:space="0" w:color="000000"/>
              <w:bottom w:val="nil"/>
              <w:right w:val="single" w:sz="8" w:space="0" w:color="D9D9D9"/>
            </w:tcBorders>
            <w:vAlign w:val="center"/>
            <w:hideMark/>
          </w:tcPr>
          <w:p w14:paraId="4F814822" w14:textId="77777777" w:rsidR="00580962" w:rsidRPr="008A401B" w:rsidRDefault="00580962" w:rsidP="00F3373E">
            <w:pPr>
              <w:spacing w:line="240" w:lineRule="auto"/>
              <w:jc w:val="center"/>
              <w:rPr>
                <w:rFonts w:ascii="Calibri" w:eastAsia="Times New Roman" w:hAnsi="Calibri" w:cs="Calibri"/>
                <w:b/>
                <w:bCs/>
                <w:color w:val="000000"/>
                <w:sz w:val="20"/>
                <w:szCs w:val="20"/>
              </w:rPr>
            </w:pPr>
            <w:r w:rsidRPr="008A401B">
              <w:rPr>
                <w:rFonts w:ascii="Calibri" w:eastAsia="Calibri" w:hAnsi="Calibri" w:cs="Times New Roman"/>
                <w:b/>
                <w:bCs/>
                <w:sz w:val="20"/>
                <w:szCs w:val="20"/>
              </w:rPr>
              <w:t>Domaines de résultats</w:t>
            </w:r>
          </w:p>
        </w:tc>
        <w:tc>
          <w:tcPr>
            <w:tcW w:w="4348" w:type="dxa"/>
            <w:tcBorders>
              <w:top w:val="nil"/>
              <w:left w:val="nil"/>
              <w:bottom w:val="nil"/>
              <w:right w:val="single" w:sz="8" w:space="0" w:color="D9D9D9"/>
            </w:tcBorders>
            <w:vAlign w:val="center"/>
            <w:hideMark/>
          </w:tcPr>
          <w:p w14:paraId="2DB9255B" w14:textId="77777777" w:rsidR="00580962" w:rsidRPr="008A401B" w:rsidRDefault="00580962" w:rsidP="00F3373E">
            <w:pPr>
              <w:spacing w:line="240" w:lineRule="auto"/>
              <w:contextualSpacing/>
              <w:rPr>
                <w:rFonts w:ascii="Calibri" w:eastAsia="Aptos" w:hAnsi="Calibri" w:cs="Calibri"/>
                <w:sz w:val="20"/>
                <w:szCs w:val="20"/>
              </w:rPr>
            </w:pPr>
            <w:r w:rsidRPr="008A401B">
              <w:rPr>
                <w:rFonts w:ascii="Calibri" w:eastAsia="Calibri" w:hAnsi="Calibri" w:cs="Times New Roman"/>
                <w:b/>
                <w:bCs/>
                <w:sz w:val="20"/>
                <w:szCs w:val="20"/>
              </w:rPr>
              <w:t xml:space="preserve">Composante I. Éducation préscolaire </w:t>
            </w:r>
          </w:p>
          <w:p w14:paraId="32DAE834" w14:textId="77777777" w:rsidR="00580962" w:rsidRPr="008A401B" w:rsidRDefault="00580962" w:rsidP="008B048C">
            <w:pPr>
              <w:numPr>
                <w:ilvl w:val="0"/>
                <w:numId w:val="2"/>
              </w:numPr>
              <w:spacing w:line="240" w:lineRule="auto"/>
              <w:contextualSpacing/>
              <w:rPr>
                <w:rFonts w:ascii="Calibri" w:eastAsia="Aptos" w:hAnsi="Calibri" w:cs="Calibri"/>
                <w:sz w:val="20"/>
                <w:szCs w:val="20"/>
              </w:rPr>
            </w:pPr>
            <w:r w:rsidRPr="008A401B">
              <w:rPr>
                <w:rFonts w:ascii="Calibri" w:eastAsia="Calibri" w:hAnsi="Calibri" w:cs="Times New Roman"/>
                <w:sz w:val="20"/>
                <w:szCs w:val="20"/>
              </w:rPr>
              <w:t xml:space="preserve">Accès et équité : Expansion de l’offre publique, diversification des modèles préscolaires, réduction des inégalités d’accès </w:t>
            </w:r>
          </w:p>
          <w:p w14:paraId="130AEC0F" w14:textId="77777777" w:rsidR="00580962" w:rsidRPr="008A401B" w:rsidRDefault="00580962" w:rsidP="008B048C">
            <w:pPr>
              <w:numPr>
                <w:ilvl w:val="0"/>
                <w:numId w:val="2"/>
              </w:numPr>
              <w:spacing w:line="240" w:lineRule="auto"/>
              <w:contextualSpacing/>
              <w:rPr>
                <w:rFonts w:ascii="Calibri" w:eastAsia="Aptos" w:hAnsi="Calibri" w:cs="Calibri"/>
                <w:sz w:val="20"/>
                <w:szCs w:val="20"/>
              </w:rPr>
            </w:pPr>
            <w:r w:rsidRPr="008A401B">
              <w:rPr>
                <w:rFonts w:ascii="Calibri" w:eastAsia="Calibri" w:hAnsi="Calibri" w:cs="Times New Roman"/>
                <w:sz w:val="20"/>
                <w:szCs w:val="20"/>
              </w:rPr>
              <w:t>Qualité et pertinence : Formation et renforcement des capacités, développement pédagogique</w:t>
            </w:r>
          </w:p>
          <w:p w14:paraId="250EB4C5" w14:textId="77777777" w:rsidR="00580962" w:rsidRPr="008A401B" w:rsidRDefault="00580962" w:rsidP="008B048C">
            <w:pPr>
              <w:numPr>
                <w:ilvl w:val="0"/>
                <w:numId w:val="2"/>
              </w:numPr>
              <w:spacing w:line="240" w:lineRule="auto"/>
              <w:contextualSpacing/>
              <w:rPr>
                <w:rFonts w:ascii="Calibri" w:eastAsia="Aptos" w:hAnsi="Calibri" w:cs="Calibri"/>
                <w:sz w:val="20"/>
                <w:szCs w:val="20"/>
              </w:rPr>
            </w:pPr>
            <w:r w:rsidRPr="008A401B">
              <w:rPr>
                <w:rFonts w:ascii="Calibri" w:eastAsia="Calibri" w:hAnsi="Calibri" w:cs="Times New Roman"/>
                <w:sz w:val="20"/>
                <w:szCs w:val="20"/>
              </w:rPr>
              <w:t>Gouvernance et gestion : Coordination intersectorielle, suivi et données, éducation parentale</w:t>
            </w:r>
          </w:p>
        </w:tc>
        <w:tc>
          <w:tcPr>
            <w:tcW w:w="3169" w:type="dxa"/>
            <w:vMerge w:val="restart"/>
            <w:tcBorders>
              <w:top w:val="nil"/>
              <w:left w:val="nil"/>
              <w:right w:val="single" w:sz="8" w:space="0" w:color="D9D9D9"/>
            </w:tcBorders>
            <w:vAlign w:val="center"/>
            <w:hideMark/>
          </w:tcPr>
          <w:p w14:paraId="4039C1AF" w14:textId="77777777" w:rsidR="00580962" w:rsidRPr="008A401B" w:rsidRDefault="00580962" w:rsidP="00F3373E">
            <w:pPr>
              <w:spacing w:line="240" w:lineRule="auto"/>
              <w:rPr>
                <w:rFonts w:ascii="Calibri" w:eastAsia="Calibri" w:hAnsi="Calibri" w:cs="Times New Roman"/>
                <w:b/>
                <w:bCs/>
                <w:sz w:val="20"/>
                <w:szCs w:val="20"/>
              </w:rPr>
            </w:pPr>
            <w:r w:rsidRPr="008A401B">
              <w:rPr>
                <w:rFonts w:ascii="Calibri" w:eastAsia="Calibri" w:hAnsi="Calibri" w:cs="Times New Roman"/>
                <w:b/>
                <w:bCs/>
                <w:sz w:val="20"/>
                <w:szCs w:val="20"/>
              </w:rPr>
              <w:t>DR1. Améliorer la qualité de l’enseignement de base</w:t>
            </w:r>
          </w:p>
          <w:p w14:paraId="02C8216F" w14:textId="77777777" w:rsidR="00580962" w:rsidRPr="008A401B" w:rsidRDefault="00580962" w:rsidP="00F3373E">
            <w:pPr>
              <w:spacing w:line="240" w:lineRule="auto"/>
              <w:rPr>
                <w:rFonts w:ascii="Calibri" w:eastAsia="Calibri" w:hAnsi="Calibri" w:cs="Times New Roman"/>
                <w:b/>
                <w:bCs/>
                <w:sz w:val="20"/>
                <w:szCs w:val="20"/>
              </w:rPr>
            </w:pPr>
          </w:p>
          <w:p w14:paraId="52B73E0B" w14:textId="77777777" w:rsidR="00580962" w:rsidRPr="008A401B" w:rsidRDefault="00580962" w:rsidP="00F3373E">
            <w:pPr>
              <w:spacing w:line="240" w:lineRule="auto"/>
              <w:rPr>
                <w:rFonts w:ascii="Calibri" w:eastAsia="Calibri" w:hAnsi="Calibri" w:cs="Times New Roman"/>
                <w:sz w:val="20"/>
                <w:szCs w:val="20"/>
              </w:rPr>
            </w:pPr>
            <w:r w:rsidRPr="008A401B">
              <w:rPr>
                <w:rFonts w:ascii="Calibri" w:eastAsia="Calibri" w:hAnsi="Calibri" w:cs="Times New Roman"/>
                <w:sz w:val="20"/>
                <w:szCs w:val="20"/>
              </w:rPr>
              <w:t xml:space="preserve"> </w:t>
            </w:r>
            <w:r w:rsidRPr="008A401B">
              <w:rPr>
                <w:rFonts w:ascii="Calibri" w:eastAsia="Calibri" w:hAnsi="Calibri" w:cs="Times New Roman"/>
                <w:i/>
                <w:iCs/>
                <w:sz w:val="20"/>
                <w:szCs w:val="20"/>
              </w:rPr>
              <w:t>Préscolaire</w:t>
            </w:r>
            <w:r w:rsidRPr="008A401B">
              <w:rPr>
                <w:rFonts w:ascii="Calibri" w:eastAsia="Calibri" w:hAnsi="Calibri" w:cs="Times New Roman"/>
                <w:sz w:val="20"/>
                <w:szCs w:val="20"/>
              </w:rPr>
              <w:t xml:space="preserve"> </w:t>
            </w:r>
          </w:p>
          <w:p w14:paraId="5AD417F8" w14:textId="77777777" w:rsidR="00580962" w:rsidRPr="008A401B" w:rsidRDefault="00580962" w:rsidP="008B048C">
            <w:pPr>
              <w:numPr>
                <w:ilvl w:val="0"/>
                <w:numId w:val="4"/>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Accès : Expansion de l’offre publique </w:t>
            </w:r>
          </w:p>
          <w:p w14:paraId="15A86C20" w14:textId="77777777" w:rsidR="00580962" w:rsidRPr="008A401B" w:rsidRDefault="00580962" w:rsidP="008B048C">
            <w:pPr>
              <w:numPr>
                <w:ilvl w:val="0"/>
                <w:numId w:val="4"/>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Qualité : Formation et renforcement des capacités </w:t>
            </w:r>
          </w:p>
          <w:p w14:paraId="7948B1BB" w14:textId="77777777" w:rsidR="00580962" w:rsidRPr="008A401B" w:rsidRDefault="00580962" w:rsidP="00F3373E">
            <w:pPr>
              <w:spacing w:line="240" w:lineRule="auto"/>
              <w:rPr>
                <w:rFonts w:ascii="Calibri" w:eastAsia="Calibri" w:hAnsi="Calibri" w:cs="Times New Roman"/>
                <w:i/>
                <w:iCs/>
                <w:sz w:val="20"/>
                <w:szCs w:val="20"/>
              </w:rPr>
            </w:pPr>
          </w:p>
          <w:p w14:paraId="74D75648" w14:textId="77777777" w:rsidR="00580962" w:rsidRPr="008A401B" w:rsidRDefault="00580962" w:rsidP="00F3373E">
            <w:pPr>
              <w:spacing w:line="240" w:lineRule="auto"/>
              <w:rPr>
                <w:rFonts w:ascii="Calibri" w:eastAsia="Calibri" w:hAnsi="Calibri" w:cs="Times New Roman"/>
                <w:i/>
                <w:iCs/>
                <w:sz w:val="20"/>
                <w:szCs w:val="20"/>
              </w:rPr>
            </w:pPr>
            <w:r w:rsidRPr="008A401B">
              <w:rPr>
                <w:rFonts w:ascii="Calibri" w:eastAsia="Calibri" w:hAnsi="Calibri" w:cs="Times New Roman"/>
                <w:i/>
                <w:iCs/>
                <w:sz w:val="20"/>
                <w:szCs w:val="20"/>
              </w:rPr>
              <w:t xml:space="preserve">Enseignement de base (primaire et premier cycle du secondaire) </w:t>
            </w:r>
          </w:p>
          <w:p w14:paraId="0415F209" w14:textId="77777777" w:rsidR="00580962" w:rsidRPr="008A401B" w:rsidRDefault="00580962" w:rsidP="008B048C">
            <w:pPr>
              <w:numPr>
                <w:ilvl w:val="0"/>
                <w:numId w:val="4"/>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Accès et équité : Expansion de l’offre éducative ; transition du primaire vers le collège </w:t>
            </w:r>
          </w:p>
          <w:p w14:paraId="58F2E9B5" w14:textId="77777777" w:rsidR="00580962" w:rsidRPr="008A401B" w:rsidRDefault="00580962" w:rsidP="008B048C">
            <w:pPr>
              <w:numPr>
                <w:ilvl w:val="0"/>
                <w:numId w:val="4"/>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Équité d’accès en ciblant les réfugiés et les communautés d’accueil </w:t>
            </w:r>
          </w:p>
          <w:p w14:paraId="79FCA58F" w14:textId="77777777" w:rsidR="00580962" w:rsidRPr="008A401B" w:rsidRDefault="00580962" w:rsidP="008B048C">
            <w:pPr>
              <w:numPr>
                <w:ilvl w:val="0"/>
                <w:numId w:val="4"/>
              </w:numPr>
              <w:spacing w:line="240" w:lineRule="auto"/>
              <w:contextualSpacing/>
              <w:rPr>
                <w:rFonts w:ascii="Calibri" w:eastAsia="Times New Roman" w:hAnsi="Calibri" w:cs="Calibri"/>
                <w:color w:val="000000"/>
                <w:sz w:val="20"/>
                <w:szCs w:val="20"/>
              </w:rPr>
            </w:pPr>
            <w:r w:rsidRPr="008A401B">
              <w:rPr>
                <w:rFonts w:ascii="Calibri" w:eastAsia="Calibri" w:hAnsi="Calibri" w:cs="Times New Roman"/>
                <w:sz w:val="20"/>
                <w:szCs w:val="20"/>
              </w:rPr>
              <w:t>Qualité et pertinence : Réforme pédagogique et curriculaire ; promotion des sciences et des TIC ; formation des enseignants</w:t>
            </w:r>
          </w:p>
        </w:tc>
        <w:tc>
          <w:tcPr>
            <w:tcW w:w="1829" w:type="dxa"/>
            <w:tcBorders>
              <w:top w:val="nil"/>
              <w:left w:val="nil"/>
              <w:bottom w:val="nil"/>
              <w:right w:val="single" w:sz="4" w:space="0" w:color="000000"/>
            </w:tcBorders>
            <w:noWrap/>
            <w:vAlign w:val="center"/>
            <w:hideMark/>
          </w:tcPr>
          <w:p w14:paraId="6C6852DC" w14:textId="77777777" w:rsidR="00580962" w:rsidRPr="008A401B" w:rsidRDefault="00580962" w:rsidP="00F3373E">
            <w:pPr>
              <w:spacing w:line="240" w:lineRule="auto"/>
              <w:jc w:val="center"/>
              <w:rPr>
                <w:rFonts w:ascii="Calibri" w:eastAsia="Calibri" w:hAnsi="Calibri" w:cs="Times New Roman"/>
                <w:sz w:val="20"/>
                <w:szCs w:val="20"/>
              </w:rPr>
            </w:pPr>
          </w:p>
          <w:p w14:paraId="793FC21F" w14:textId="77777777" w:rsidR="00580962" w:rsidRPr="008A401B" w:rsidRDefault="00580962" w:rsidP="00F3373E">
            <w:pPr>
              <w:spacing w:line="240" w:lineRule="auto"/>
              <w:jc w:val="center"/>
              <w:rPr>
                <w:rFonts w:ascii="Calibri" w:eastAsia="Calibri" w:hAnsi="Calibri" w:cs="Times New Roman"/>
                <w:sz w:val="20"/>
                <w:szCs w:val="20"/>
              </w:rPr>
            </w:pPr>
          </w:p>
          <w:p w14:paraId="1E071760" w14:textId="77777777" w:rsidR="00580962" w:rsidRPr="008A401B" w:rsidRDefault="00580962" w:rsidP="00F3373E">
            <w:pPr>
              <w:spacing w:line="240" w:lineRule="auto"/>
              <w:jc w:val="center"/>
              <w:rPr>
                <w:rFonts w:ascii="Calibri" w:eastAsia="Times New Roman" w:hAnsi="Calibri" w:cs="Calibri"/>
                <w:color w:val="000000"/>
                <w:sz w:val="20"/>
                <w:szCs w:val="20"/>
              </w:rPr>
            </w:pPr>
            <w:r w:rsidRPr="008A401B">
              <w:rPr>
                <w:rFonts w:ascii="Calibri" w:eastAsia="Calibri" w:hAnsi="Calibri" w:cs="Times New Roman"/>
                <w:sz w:val="20"/>
                <w:szCs w:val="20"/>
              </w:rPr>
              <w:t xml:space="preserve">Pleinement aligné, avec un nombre limité de résultats faisant l’objet de mesures incitatives dans le cadre du </w:t>
            </w:r>
            <w:proofErr w:type="spellStart"/>
            <w:r w:rsidRPr="008A401B">
              <w:rPr>
                <w:rFonts w:ascii="Calibri" w:eastAsia="Calibri" w:hAnsi="Calibri" w:cs="Times New Roman"/>
                <w:sz w:val="20"/>
                <w:szCs w:val="20"/>
              </w:rPr>
              <w:t>PforR</w:t>
            </w:r>
            <w:proofErr w:type="spellEnd"/>
            <w:r w:rsidRPr="008A401B">
              <w:rPr>
                <w:rFonts w:ascii="Calibri" w:eastAsia="Times New Roman" w:hAnsi="Calibri" w:cs="Calibri"/>
                <w:color w:val="000000"/>
                <w:sz w:val="20"/>
                <w:szCs w:val="20"/>
              </w:rPr>
              <w:t xml:space="preserve">. </w:t>
            </w:r>
          </w:p>
        </w:tc>
      </w:tr>
      <w:tr w:rsidR="00580962" w:rsidRPr="008A401B" w14:paraId="3AD85FFC" w14:textId="77777777" w:rsidTr="00F3373E">
        <w:trPr>
          <w:trHeight w:val="1033"/>
          <w:jc w:val="center"/>
        </w:trPr>
        <w:tc>
          <w:tcPr>
            <w:tcW w:w="1478" w:type="dxa"/>
            <w:vMerge/>
            <w:tcBorders>
              <w:top w:val="nil"/>
              <w:left w:val="single" w:sz="4" w:space="0" w:color="000000"/>
              <w:bottom w:val="nil"/>
              <w:right w:val="single" w:sz="8" w:space="0" w:color="D9D9D9"/>
            </w:tcBorders>
            <w:vAlign w:val="center"/>
          </w:tcPr>
          <w:p w14:paraId="72BE4FFC" w14:textId="77777777" w:rsidR="00580962" w:rsidRPr="008A401B" w:rsidRDefault="00580962" w:rsidP="00F3373E">
            <w:pPr>
              <w:spacing w:line="240" w:lineRule="auto"/>
              <w:jc w:val="center"/>
              <w:rPr>
                <w:rFonts w:ascii="Calibri" w:eastAsia="Times New Roman" w:hAnsi="Calibri" w:cs="Calibri"/>
                <w:b/>
                <w:bCs/>
                <w:color w:val="000000"/>
                <w:sz w:val="20"/>
                <w:szCs w:val="20"/>
              </w:rPr>
            </w:pPr>
          </w:p>
        </w:tc>
        <w:tc>
          <w:tcPr>
            <w:tcW w:w="4348" w:type="dxa"/>
            <w:tcBorders>
              <w:top w:val="nil"/>
              <w:left w:val="nil"/>
              <w:bottom w:val="nil"/>
              <w:right w:val="single" w:sz="8" w:space="0" w:color="D9D9D9"/>
            </w:tcBorders>
            <w:vAlign w:val="center"/>
          </w:tcPr>
          <w:p w14:paraId="0A0F64EB" w14:textId="77777777" w:rsidR="00580962" w:rsidRPr="008A401B" w:rsidRDefault="00580962" w:rsidP="00F3373E">
            <w:pPr>
              <w:spacing w:line="240" w:lineRule="auto"/>
              <w:rPr>
                <w:rFonts w:ascii="Calibri" w:eastAsia="Calibri" w:hAnsi="Calibri" w:cs="Times New Roman"/>
                <w:b/>
                <w:bCs/>
                <w:sz w:val="20"/>
                <w:szCs w:val="20"/>
              </w:rPr>
            </w:pPr>
            <w:r w:rsidRPr="008A401B">
              <w:rPr>
                <w:rFonts w:ascii="Calibri" w:eastAsia="Calibri" w:hAnsi="Calibri" w:cs="Times New Roman"/>
                <w:b/>
                <w:bCs/>
                <w:sz w:val="20"/>
                <w:szCs w:val="20"/>
              </w:rPr>
              <w:t>Composante II. Enseignement primaire</w:t>
            </w:r>
          </w:p>
          <w:p w14:paraId="0B9F5448" w14:textId="77777777" w:rsidR="00580962" w:rsidRPr="008A401B" w:rsidRDefault="00580962" w:rsidP="008B048C">
            <w:pPr>
              <w:numPr>
                <w:ilvl w:val="0"/>
                <w:numId w:val="3"/>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Accès et équité : Expansion de l’offre éducative, réduction des barrières financières et sociales </w:t>
            </w:r>
          </w:p>
          <w:p w14:paraId="7A70F783" w14:textId="77777777" w:rsidR="00580962" w:rsidRPr="008A401B" w:rsidRDefault="00580962" w:rsidP="008B048C">
            <w:pPr>
              <w:numPr>
                <w:ilvl w:val="0"/>
                <w:numId w:val="3"/>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Qualité et apprentissages fondamentaux : Réforme pédagogique et curriculaire, réduction de la pauvreté des apprentissages </w:t>
            </w:r>
          </w:p>
          <w:p w14:paraId="5AD466FB" w14:textId="77777777" w:rsidR="00580962" w:rsidRPr="008A401B" w:rsidRDefault="00580962" w:rsidP="008B048C">
            <w:pPr>
              <w:numPr>
                <w:ilvl w:val="0"/>
                <w:numId w:val="3"/>
              </w:numPr>
              <w:spacing w:line="240" w:lineRule="auto"/>
              <w:contextualSpacing/>
              <w:rPr>
                <w:rFonts w:ascii="Calibri" w:eastAsia="Aptos" w:hAnsi="Calibri" w:cs="Calibri"/>
                <w:sz w:val="20"/>
                <w:szCs w:val="20"/>
              </w:rPr>
            </w:pPr>
            <w:r w:rsidRPr="008A401B">
              <w:rPr>
                <w:rFonts w:ascii="Calibri" w:eastAsia="Calibri" w:hAnsi="Calibri" w:cs="Times New Roman"/>
                <w:sz w:val="20"/>
                <w:szCs w:val="20"/>
              </w:rPr>
              <w:t>Gouvernance et gestion : Gestion décentralisée et participative, suivi et évaluation</w:t>
            </w:r>
          </w:p>
        </w:tc>
        <w:tc>
          <w:tcPr>
            <w:tcW w:w="3169" w:type="dxa"/>
            <w:vMerge/>
            <w:tcBorders>
              <w:left w:val="nil"/>
              <w:right w:val="single" w:sz="8" w:space="0" w:color="D9D9D9"/>
            </w:tcBorders>
            <w:vAlign w:val="center"/>
          </w:tcPr>
          <w:p w14:paraId="217F97E8" w14:textId="77777777" w:rsidR="00580962" w:rsidRPr="008A401B" w:rsidRDefault="00580962" w:rsidP="00F3373E">
            <w:pPr>
              <w:spacing w:line="240" w:lineRule="auto"/>
              <w:rPr>
                <w:rFonts w:ascii="Calibri" w:eastAsia="Times New Roman" w:hAnsi="Calibri" w:cs="Calibri"/>
                <w:b/>
                <w:bCs/>
                <w:color w:val="000000"/>
                <w:sz w:val="20"/>
                <w:szCs w:val="20"/>
              </w:rPr>
            </w:pPr>
          </w:p>
        </w:tc>
        <w:tc>
          <w:tcPr>
            <w:tcW w:w="1829" w:type="dxa"/>
            <w:tcBorders>
              <w:top w:val="nil"/>
              <w:left w:val="nil"/>
              <w:bottom w:val="nil"/>
              <w:right w:val="single" w:sz="4" w:space="0" w:color="000000"/>
            </w:tcBorders>
            <w:noWrap/>
            <w:vAlign w:val="center"/>
          </w:tcPr>
          <w:p w14:paraId="36F36843" w14:textId="77777777" w:rsidR="00580962" w:rsidRPr="008A401B" w:rsidRDefault="00580962" w:rsidP="00F3373E">
            <w:pPr>
              <w:spacing w:line="240" w:lineRule="auto"/>
              <w:jc w:val="center"/>
              <w:rPr>
                <w:rFonts w:ascii="Calibri" w:eastAsia="Calibri" w:hAnsi="Calibri" w:cs="Times New Roman"/>
                <w:sz w:val="20"/>
                <w:szCs w:val="20"/>
              </w:rPr>
            </w:pPr>
          </w:p>
          <w:p w14:paraId="32F3A908" w14:textId="77777777" w:rsidR="00580962" w:rsidRPr="008A401B" w:rsidRDefault="00580962" w:rsidP="00F3373E">
            <w:pPr>
              <w:spacing w:line="240" w:lineRule="auto"/>
              <w:jc w:val="center"/>
              <w:rPr>
                <w:rFonts w:ascii="Calibri" w:eastAsia="Calibri" w:hAnsi="Calibri" w:cs="Times New Roman"/>
                <w:sz w:val="20"/>
                <w:szCs w:val="20"/>
              </w:rPr>
            </w:pPr>
          </w:p>
          <w:p w14:paraId="48A877D0" w14:textId="77777777" w:rsidR="00580962" w:rsidRPr="008A401B" w:rsidRDefault="00580962" w:rsidP="00F3373E">
            <w:pPr>
              <w:spacing w:line="240" w:lineRule="auto"/>
              <w:jc w:val="center"/>
              <w:rPr>
                <w:rFonts w:ascii="Calibri" w:eastAsia="Calibri" w:hAnsi="Calibri" w:cs="Times New Roman"/>
                <w:sz w:val="20"/>
                <w:szCs w:val="20"/>
              </w:rPr>
            </w:pPr>
          </w:p>
          <w:p w14:paraId="02095396" w14:textId="77777777" w:rsidR="00580962" w:rsidRPr="008A401B" w:rsidRDefault="00580962" w:rsidP="00F3373E">
            <w:pPr>
              <w:spacing w:line="240" w:lineRule="auto"/>
              <w:jc w:val="center"/>
              <w:rPr>
                <w:rFonts w:ascii="Calibri" w:eastAsia="Times New Roman" w:hAnsi="Calibri" w:cs="Calibri"/>
                <w:color w:val="000000"/>
                <w:sz w:val="20"/>
                <w:szCs w:val="20"/>
              </w:rPr>
            </w:pPr>
            <w:r w:rsidRPr="008A401B">
              <w:rPr>
                <w:rFonts w:ascii="Calibri" w:eastAsia="Calibri" w:hAnsi="Calibri" w:cs="Times New Roman"/>
                <w:sz w:val="20"/>
                <w:szCs w:val="20"/>
              </w:rPr>
              <w:t xml:space="preserve">Pleinement aligné, avec un nombre limité de résultats faisant l’objet de mesures incitatives dans le cadre du </w:t>
            </w:r>
            <w:proofErr w:type="spellStart"/>
            <w:r w:rsidRPr="008A401B">
              <w:rPr>
                <w:rFonts w:ascii="Calibri" w:eastAsia="Calibri" w:hAnsi="Calibri" w:cs="Times New Roman"/>
                <w:sz w:val="20"/>
                <w:szCs w:val="20"/>
              </w:rPr>
              <w:t>PforR</w:t>
            </w:r>
            <w:proofErr w:type="spellEnd"/>
            <w:r w:rsidRPr="008A401B">
              <w:rPr>
                <w:rFonts w:ascii="Calibri" w:eastAsia="Times New Roman" w:hAnsi="Calibri" w:cs="Calibri"/>
                <w:color w:val="000000"/>
                <w:sz w:val="20"/>
                <w:szCs w:val="20"/>
              </w:rPr>
              <w:t xml:space="preserve">. </w:t>
            </w:r>
          </w:p>
        </w:tc>
      </w:tr>
      <w:tr w:rsidR="00580962" w:rsidRPr="008A401B" w14:paraId="213EB7F7" w14:textId="77777777" w:rsidTr="00F3373E">
        <w:trPr>
          <w:trHeight w:val="1033"/>
          <w:jc w:val="center"/>
        </w:trPr>
        <w:tc>
          <w:tcPr>
            <w:tcW w:w="1478" w:type="dxa"/>
            <w:vMerge/>
            <w:tcBorders>
              <w:top w:val="nil"/>
              <w:left w:val="single" w:sz="4" w:space="0" w:color="000000"/>
              <w:bottom w:val="nil"/>
              <w:right w:val="single" w:sz="8" w:space="0" w:color="D9D9D9"/>
            </w:tcBorders>
            <w:vAlign w:val="center"/>
          </w:tcPr>
          <w:p w14:paraId="19E70CC2" w14:textId="77777777" w:rsidR="00580962" w:rsidRPr="008A401B" w:rsidRDefault="00580962" w:rsidP="00F3373E">
            <w:pPr>
              <w:spacing w:line="240" w:lineRule="auto"/>
              <w:jc w:val="center"/>
              <w:rPr>
                <w:rFonts w:ascii="Calibri" w:eastAsia="Times New Roman" w:hAnsi="Calibri" w:cs="Calibri"/>
                <w:b/>
                <w:bCs/>
                <w:color w:val="000000"/>
                <w:sz w:val="20"/>
                <w:szCs w:val="20"/>
              </w:rPr>
            </w:pPr>
          </w:p>
        </w:tc>
        <w:tc>
          <w:tcPr>
            <w:tcW w:w="4348" w:type="dxa"/>
            <w:tcBorders>
              <w:top w:val="nil"/>
              <w:left w:val="nil"/>
              <w:bottom w:val="nil"/>
              <w:right w:val="single" w:sz="8" w:space="0" w:color="D9D9D9"/>
            </w:tcBorders>
            <w:vAlign w:val="center"/>
          </w:tcPr>
          <w:p w14:paraId="4FE14086" w14:textId="77777777" w:rsidR="00580962" w:rsidRPr="008A401B" w:rsidRDefault="00580962" w:rsidP="00F3373E">
            <w:pPr>
              <w:spacing w:line="240" w:lineRule="auto"/>
              <w:rPr>
                <w:rFonts w:ascii="Calibri" w:eastAsia="Calibri" w:hAnsi="Calibri" w:cs="Times New Roman"/>
                <w:b/>
                <w:bCs/>
                <w:sz w:val="20"/>
                <w:szCs w:val="20"/>
              </w:rPr>
            </w:pPr>
            <w:r w:rsidRPr="008A401B">
              <w:rPr>
                <w:rFonts w:ascii="Calibri" w:eastAsia="Calibri" w:hAnsi="Calibri" w:cs="Times New Roman"/>
                <w:b/>
                <w:bCs/>
                <w:sz w:val="20"/>
                <w:szCs w:val="20"/>
              </w:rPr>
              <w:t xml:space="preserve">Composante III. Premier cycle du secondaire (collège) </w:t>
            </w:r>
          </w:p>
          <w:p w14:paraId="0F752A8D" w14:textId="77777777" w:rsidR="00580962" w:rsidRPr="008A401B" w:rsidRDefault="00580962" w:rsidP="008B048C">
            <w:pPr>
              <w:numPr>
                <w:ilvl w:val="0"/>
                <w:numId w:val="4"/>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Accès et équité : Augmentation des capacités d’accueil, transition du primaire vers le collège, promotion de l’éducation des filles </w:t>
            </w:r>
          </w:p>
          <w:p w14:paraId="1CEE1CD8" w14:textId="77777777" w:rsidR="00580962" w:rsidRPr="008A401B" w:rsidRDefault="00580962" w:rsidP="008B048C">
            <w:pPr>
              <w:numPr>
                <w:ilvl w:val="0"/>
                <w:numId w:val="4"/>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Qualité et pertinence : Réforme curriculaire, promotion des sciences et des TIC, formation des enseignants, environnement d’apprentissage </w:t>
            </w:r>
          </w:p>
          <w:p w14:paraId="75D55817" w14:textId="77777777" w:rsidR="00580962" w:rsidRPr="008A401B" w:rsidRDefault="00580962" w:rsidP="008B048C">
            <w:pPr>
              <w:numPr>
                <w:ilvl w:val="0"/>
                <w:numId w:val="4"/>
              </w:numPr>
              <w:spacing w:line="240" w:lineRule="auto"/>
              <w:contextualSpacing/>
              <w:rPr>
                <w:rFonts w:ascii="Calibri" w:eastAsia="Aptos" w:hAnsi="Calibri" w:cs="Calibri"/>
                <w:sz w:val="20"/>
                <w:szCs w:val="20"/>
              </w:rPr>
            </w:pPr>
            <w:r w:rsidRPr="008A401B">
              <w:rPr>
                <w:rFonts w:ascii="Calibri" w:eastAsia="Calibri" w:hAnsi="Calibri" w:cs="Times New Roman"/>
                <w:sz w:val="20"/>
                <w:szCs w:val="20"/>
              </w:rPr>
              <w:t>Gouvernance et gestion : Gestion scolaire, participation communautaire</w:t>
            </w:r>
          </w:p>
        </w:tc>
        <w:tc>
          <w:tcPr>
            <w:tcW w:w="3169" w:type="dxa"/>
            <w:vMerge/>
            <w:tcBorders>
              <w:left w:val="nil"/>
              <w:bottom w:val="nil"/>
              <w:right w:val="single" w:sz="8" w:space="0" w:color="D9D9D9"/>
            </w:tcBorders>
            <w:vAlign w:val="center"/>
          </w:tcPr>
          <w:p w14:paraId="14A17174" w14:textId="77777777" w:rsidR="00580962" w:rsidRPr="008A401B" w:rsidRDefault="00580962" w:rsidP="00F3373E">
            <w:pPr>
              <w:spacing w:line="240" w:lineRule="auto"/>
              <w:rPr>
                <w:rFonts w:ascii="Calibri" w:eastAsia="Times New Roman" w:hAnsi="Calibri" w:cs="Calibri"/>
                <w:b/>
                <w:bCs/>
                <w:color w:val="000000"/>
                <w:sz w:val="20"/>
                <w:szCs w:val="20"/>
              </w:rPr>
            </w:pPr>
          </w:p>
        </w:tc>
        <w:tc>
          <w:tcPr>
            <w:tcW w:w="1829" w:type="dxa"/>
            <w:tcBorders>
              <w:top w:val="nil"/>
              <w:left w:val="nil"/>
              <w:bottom w:val="nil"/>
              <w:right w:val="single" w:sz="4" w:space="0" w:color="000000"/>
            </w:tcBorders>
            <w:noWrap/>
            <w:vAlign w:val="center"/>
          </w:tcPr>
          <w:p w14:paraId="108A35CD" w14:textId="77777777" w:rsidR="00580962" w:rsidRPr="008A401B" w:rsidRDefault="00580962" w:rsidP="00F3373E">
            <w:pPr>
              <w:spacing w:line="240" w:lineRule="auto"/>
              <w:jc w:val="center"/>
              <w:rPr>
                <w:rFonts w:ascii="Calibri" w:eastAsia="Times New Roman" w:hAnsi="Calibri" w:cs="Calibri"/>
                <w:color w:val="000000"/>
                <w:sz w:val="20"/>
                <w:szCs w:val="20"/>
              </w:rPr>
            </w:pPr>
          </w:p>
        </w:tc>
      </w:tr>
      <w:tr w:rsidR="00580962" w:rsidRPr="008A401B" w14:paraId="2E32199F" w14:textId="77777777" w:rsidTr="00F3373E">
        <w:trPr>
          <w:trHeight w:val="701"/>
          <w:jc w:val="center"/>
        </w:trPr>
        <w:tc>
          <w:tcPr>
            <w:tcW w:w="1478" w:type="dxa"/>
            <w:vMerge/>
            <w:tcBorders>
              <w:top w:val="nil"/>
              <w:left w:val="single" w:sz="4" w:space="0" w:color="000000"/>
              <w:bottom w:val="nil"/>
              <w:right w:val="single" w:sz="8" w:space="0" w:color="D9D9D9"/>
            </w:tcBorders>
            <w:vAlign w:val="center"/>
            <w:hideMark/>
          </w:tcPr>
          <w:p w14:paraId="7E2444EF" w14:textId="77777777" w:rsidR="00580962" w:rsidRPr="008A401B" w:rsidRDefault="00580962" w:rsidP="00F3373E">
            <w:pPr>
              <w:spacing w:line="240" w:lineRule="auto"/>
              <w:rPr>
                <w:rFonts w:ascii="Calibri" w:eastAsia="Times New Roman" w:hAnsi="Calibri" w:cs="Calibri"/>
                <w:b/>
                <w:bCs/>
                <w:color w:val="000000"/>
                <w:sz w:val="20"/>
                <w:szCs w:val="20"/>
              </w:rPr>
            </w:pPr>
          </w:p>
        </w:tc>
        <w:tc>
          <w:tcPr>
            <w:tcW w:w="4348" w:type="dxa"/>
            <w:tcBorders>
              <w:top w:val="nil"/>
              <w:left w:val="nil"/>
              <w:bottom w:val="nil"/>
              <w:right w:val="single" w:sz="8" w:space="0" w:color="D9D9D9"/>
            </w:tcBorders>
            <w:hideMark/>
          </w:tcPr>
          <w:p w14:paraId="50758C98" w14:textId="77777777" w:rsidR="00580962" w:rsidRPr="008A401B" w:rsidRDefault="00580962" w:rsidP="00F3373E">
            <w:pPr>
              <w:spacing w:line="240" w:lineRule="auto"/>
              <w:rPr>
                <w:rFonts w:ascii="Calibri" w:eastAsia="Calibri" w:hAnsi="Calibri" w:cs="Times New Roman"/>
                <w:b/>
                <w:bCs/>
                <w:sz w:val="20"/>
                <w:szCs w:val="20"/>
              </w:rPr>
            </w:pPr>
            <w:r w:rsidRPr="008A401B">
              <w:rPr>
                <w:rFonts w:ascii="Calibri" w:eastAsia="Calibri" w:hAnsi="Calibri" w:cs="Times New Roman"/>
                <w:b/>
                <w:bCs/>
                <w:sz w:val="20"/>
                <w:szCs w:val="20"/>
              </w:rPr>
              <w:t xml:space="preserve">Composante IV. Second cycle du secondaire (lycée) </w:t>
            </w:r>
          </w:p>
          <w:p w14:paraId="489F8227" w14:textId="77777777" w:rsidR="00580962" w:rsidRPr="008A401B" w:rsidRDefault="00580962" w:rsidP="008B048C">
            <w:pPr>
              <w:numPr>
                <w:ilvl w:val="0"/>
                <w:numId w:val="5"/>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Accès : Bourses ciblées pour les filles vulnérables </w:t>
            </w:r>
          </w:p>
          <w:p w14:paraId="2A50F154" w14:textId="77777777" w:rsidR="00580962" w:rsidRPr="008A401B" w:rsidRDefault="00580962" w:rsidP="008B048C">
            <w:pPr>
              <w:numPr>
                <w:ilvl w:val="0"/>
                <w:numId w:val="5"/>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Qualité de l’éducation et réussite scolaire </w:t>
            </w:r>
          </w:p>
          <w:p w14:paraId="7E46F136" w14:textId="77777777" w:rsidR="00580962" w:rsidRPr="008A401B" w:rsidRDefault="00580962" w:rsidP="008B048C">
            <w:pPr>
              <w:numPr>
                <w:ilvl w:val="0"/>
                <w:numId w:val="5"/>
              </w:numPr>
              <w:spacing w:line="240" w:lineRule="auto"/>
              <w:contextualSpacing/>
              <w:rPr>
                <w:rFonts w:ascii="Calibri" w:eastAsia="Aptos" w:hAnsi="Calibri" w:cs="Calibri"/>
                <w:sz w:val="20"/>
                <w:szCs w:val="20"/>
              </w:rPr>
            </w:pPr>
            <w:r w:rsidRPr="008A401B">
              <w:rPr>
                <w:rFonts w:ascii="Calibri" w:eastAsia="Calibri" w:hAnsi="Calibri" w:cs="Times New Roman"/>
                <w:sz w:val="20"/>
                <w:szCs w:val="20"/>
              </w:rPr>
              <w:t>Environnement scolaire sûr et protecteur</w:t>
            </w:r>
          </w:p>
        </w:tc>
        <w:tc>
          <w:tcPr>
            <w:tcW w:w="3169" w:type="dxa"/>
            <w:tcBorders>
              <w:top w:val="nil"/>
              <w:left w:val="nil"/>
              <w:bottom w:val="nil"/>
              <w:right w:val="single" w:sz="8" w:space="0" w:color="D9D9D9"/>
            </w:tcBorders>
            <w:vAlign w:val="center"/>
            <w:hideMark/>
          </w:tcPr>
          <w:p w14:paraId="02A0B2AF" w14:textId="77777777" w:rsidR="00580962" w:rsidRPr="008A401B" w:rsidRDefault="00580962" w:rsidP="00F3373E">
            <w:pPr>
              <w:spacing w:line="240" w:lineRule="auto"/>
              <w:ind w:left="97"/>
              <w:rPr>
                <w:rFonts w:ascii="Calibri" w:eastAsia="Calibri" w:hAnsi="Calibri" w:cs="Times New Roman"/>
                <w:b/>
                <w:bCs/>
                <w:sz w:val="20"/>
                <w:szCs w:val="20"/>
              </w:rPr>
            </w:pPr>
            <w:r w:rsidRPr="008A401B">
              <w:rPr>
                <w:rFonts w:ascii="Calibri" w:eastAsia="Calibri" w:hAnsi="Calibri" w:cs="Times New Roman"/>
                <w:b/>
                <w:bCs/>
                <w:sz w:val="20"/>
                <w:szCs w:val="20"/>
              </w:rPr>
              <w:t xml:space="preserve">DR2. Améliorer l’accès à l’enseignement secondaire, en mettant l’accent sur les adolescentes, et renforcer la prestation des services éducatifs dans les zones d’accueil de réfugiés </w:t>
            </w:r>
          </w:p>
          <w:p w14:paraId="69F3A609" w14:textId="77777777" w:rsidR="00580962" w:rsidRPr="008A401B" w:rsidRDefault="00580962" w:rsidP="008B048C">
            <w:pPr>
              <w:numPr>
                <w:ilvl w:val="0"/>
                <w:numId w:val="4"/>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Accès et équité : Augmentation des capacités d’accueil, en particulier pour les filles ; promotion de l’éducation des filles </w:t>
            </w:r>
          </w:p>
          <w:p w14:paraId="43358588" w14:textId="77777777" w:rsidR="00580962" w:rsidRPr="008A401B" w:rsidRDefault="00580962" w:rsidP="008B048C">
            <w:pPr>
              <w:numPr>
                <w:ilvl w:val="0"/>
                <w:numId w:val="4"/>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Qualité et pertinence : Promotion des sciences et des TIC, formation des enseignants, environnement d’apprentissage </w:t>
            </w:r>
          </w:p>
          <w:p w14:paraId="77509037" w14:textId="77777777" w:rsidR="00580962" w:rsidRPr="008A401B" w:rsidRDefault="00580962" w:rsidP="008B048C">
            <w:pPr>
              <w:numPr>
                <w:ilvl w:val="0"/>
                <w:numId w:val="4"/>
              </w:numPr>
              <w:spacing w:line="240" w:lineRule="auto"/>
              <w:contextualSpacing/>
              <w:rPr>
                <w:rFonts w:ascii="Calibri" w:eastAsia="Aptos" w:hAnsi="Calibri" w:cs="Calibri"/>
                <w:i/>
                <w:iCs/>
                <w:sz w:val="20"/>
                <w:szCs w:val="20"/>
              </w:rPr>
            </w:pPr>
            <w:r w:rsidRPr="008A401B">
              <w:rPr>
                <w:rFonts w:ascii="Calibri" w:eastAsia="Calibri" w:hAnsi="Calibri" w:cs="Times New Roman"/>
                <w:sz w:val="20"/>
                <w:szCs w:val="20"/>
              </w:rPr>
              <w:t>Équité d’accès en ciblant les réfugiés et les communautés d’accueil</w:t>
            </w:r>
          </w:p>
        </w:tc>
        <w:tc>
          <w:tcPr>
            <w:tcW w:w="1829" w:type="dxa"/>
            <w:tcBorders>
              <w:top w:val="nil"/>
              <w:left w:val="nil"/>
              <w:bottom w:val="nil"/>
              <w:right w:val="single" w:sz="4" w:space="0" w:color="000000"/>
            </w:tcBorders>
            <w:vAlign w:val="center"/>
            <w:hideMark/>
          </w:tcPr>
          <w:p w14:paraId="68B977B4" w14:textId="77777777" w:rsidR="00580962" w:rsidRPr="008A401B" w:rsidRDefault="00580962" w:rsidP="00F3373E">
            <w:pPr>
              <w:spacing w:line="240" w:lineRule="auto"/>
              <w:jc w:val="center"/>
              <w:rPr>
                <w:rFonts w:ascii="Calibri" w:eastAsia="Times New Roman" w:hAnsi="Calibri" w:cs="Calibri"/>
                <w:color w:val="000000"/>
                <w:sz w:val="20"/>
                <w:szCs w:val="20"/>
              </w:rPr>
            </w:pPr>
            <w:r w:rsidRPr="008A401B">
              <w:rPr>
                <w:rFonts w:ascii="Calibri" w:eastAsia="Calibri" w:hAnsi="Calibri" w:cs="Times New Roman"/>
                <w:sz w:val="20"/>
                <w:szCs w:val="20"/>
              </w:rPr>
              <w:t xml:space="preserve">Pleinement aligné, avec un nombre limité de résultats faisant l’objet de mesures incitatives dans le cadre du </w:t>
            </w:r>
            <w:proofErr w:type="spellStart"/>
            <w:r w:rsidRPr="008A401B">
              <w:rPr>
                <w:rFonts w:ascii="Calibri" w:eastAsia="Calibri" w:hAnsi="Calibri" w:cs="Times New Roman"/>
                <w:sz w:val="20"/>
                <w:szCs w:val="20"/>
              </w:rPr>
              <w:t>PforR</w:t>
            </w:r>
            <w:proofErr w:type="spellEnd"/>
            <w:r w:rsidRPr="008A401B">
              <w:rPr>
                <w:rFonts w:ascii="Calibri" w:eastAsia="Times New Roman" w:hAnsi="Calibri" w:cs="Calibri"/>
                <w:color w:val="000000"/>
                <w:sz w:val="20"/>
                <w:szCs w:val="20"/>
              </w:rPr>
              <w:t>.</w:t>
            </w:r>
          </w:p>
        </w:tc>
      </w:tr>
      <w:tr w:rsidR="00580962" w:rsidRPr="008A401B" w14:paraId="4D75DB1A" w14:textId="77777777" w:rsidTr="00F3373E">
        <w:trPr>
          <w:trHeight w:val="1033"/>
          <w:jc w:val="center"/>
        </w:trPr>
        <w:tc>
          <w:tcPr>
            <w:tcW w:w="1478" w:type="dxa"/>
            <w:vMerge/>
            <w:tcBorders>
              <w:top w:val="nil"/>
              <w:left w:val="single" w:sz="4" w:space="0" w:color="000000"/>
              <w:bottom w:val="single" w:sz="4" w:space="0" w:color="auto"/>
              <w:right w:val="single" w:sz="8" w:space="0" w:color="D9D9D9"/>
            </w:tcBorders>
            <w:vAlign w:val="center"/>
            <w:hideMark/>
          </w:tcPr>
          <w:p w14:paraId="530DAB72" w14:textId="77777777" w:rsidR="00580962" w:rsidRPr="008A401B" w:rsidRDefault="00580962" w:rsidP="00F3373E">
            <w:pPr>
              <w:spacing w:line="240" w:lineRule="auto"/>
              <w:rPr>
                <w:rFonts w:ascii="Calibri" w:eastAsia="Times New Roman" w:hAnsi="Calibri" w:cs="Calibri"/>
                <w:b/>
                <w:bCs/>
                <w:color w:val="000000"/>
                <w:sz w:val="20"/>
                <w:szCs w:val="20"/>
              </w:rPr>
            </w:pPr>
          </w:p>
        </w:tc>
        <w:tc>
          <w:tcPr>
            <w:tcW w:w="4348" w:type="dxa"/>
            <w:tcBorders>
              <w:top w:val="single" w:sz="8" w:space="0" w:color="D9D9D9"/>
              <w:left w:val="nil"/>
              <w:bottom w:val="single" w:sz="4" w:space="0" w:color="auto"/>
              <w:right w:val="single" w:sz="8" w:space="0" w:color="D9D9D9"/>
            </w:tcBorders>
            <w:vAlign w:val="center"/>
            <w:hideMark/>
          </w:tcPr>
          <w:p w14:paraId="4E772794" w14:textId="77777777" w:rsidR="00580962" w:rsidRPr="008A401B" w:rsidRDefault="00580962" w:rsidP="00F3373E">
            <w:pPr>
              <w:spacing w:line="240" w:lineRule="auto"/>
              <w:rPr>
                <w:rFonts w:ascii="Calibri" w:eastAsia="Calibri" w:hAnsi="Calibri" w:cs="Times New Roman"/>
                <w:b/>
                <w:bCs/>
                <w:sz w:val="20"/>
                <w:szCs w:val="20"/>
              </w:rPr>
            </w:pPr>
            <w:r w:rsidRPr="008A401B">
              <w:rPr>
                <w:rFonts w:ascii="Calibri" w:eastAsia="Calibri" w:hAnsi="Calibri" w:cs="Times New Roman"/>
                <w:b/>
                <w:bCs/>
                <w:sz w:val="20"/>
                <w:szCs w:val="20"/>
              </w:rPr>
              <w:t xml:space="preserve">Composante V. Gouvernance </w:t>
            </w:r>
          </w:p>
          <w:p w14:paraId="4C363993" w14:textId="77777777" w:rsidR="00580962" w:rsidRPr="008A401B" w:rsidRDefault="00580962" w:rsidP="008B048C">
            <w:pPr>
              <w:numPr>
                <w:ilvl w:val="0"/>
                <w:numId w:val="6"/>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Formation des parties prenantes clés </w:t>
            </w:r>
          </w:p>
          <w:p w14:paraId="574B89F4" w14:textId="77777777" w:rsidR="00580962" w:rsidRPr="008A401B" w:rsidRDefault="00580962" w:rsidP="008B048C">
            <w:pPr>
              <w:numPr>
                <w:ilvl w:val="0"/>
                <w:numId w:val="6"/>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 xml:space="preserve">Déploiement du système d’information SIRAGE </w:t>
            </w:r>
          </w:p>
          <w:p w14:paraId="07F82F69" w14:textId="77777777" w:rsidR="00580962" w:rsidRPr="008A401B" w:rsidRDefault="00580962" w:rsidP="008B048C">
            <w:pPr>
              <w:numPr>
                <w:ilvl w:val="0"/>
                <w:numId w:val="6"/>
              </w:numPr>
              <w:spacing w:line="240" w:lineRule="auto"/>
              <w:contextualSpacing/>
              <w:rPr>
                <w:rFonts w:ascii="Calibri" w:eastAsia="Calibri" w:hAnsi="Calibri" w:cs="Times New Roman"/>
                <w:b/>
                <w:bCs/>
                <w:sz w:val="20"/>
                <w:szCs w:val="20"/>
              </w:rPr>
            </w:pPr>
            <w:r w:rsidRPr="008A401B">
              <w:rPr>
                <w:rFonts w:ascii="Calibri" w:eastAsia="Calibri" w:hAnsi="Calibri" w:cs="Times New Roman"/>
                <w:sz w:val="20"/>
                <w:szCs w:val="20"/>
              </w:rPr>
              <w:t>Renforcement de la participation communautaire et parentale dans la gestion scolaire (COGES)</w:t>
            </w:r>
          </w:p>
          <w:p w14:paraId="573F737C" w14:textId="77777777" w:rsidR="00580962" w:rsidRPr="008A401B" w:rsidRDefault="00580962" w:rsidP="008B048C">
            <w:pPr>
              <w:numPr>
                <w:ilvl w:val="0"/>
                <w:numId w:val="6"/>
              </w:numPr>
              <w:spacing w:line="240" w:lineRule="auto"/>
              <w:contextualSpacing/>
              <w:rPr>
                <w:rFonts w:ascii="Calibri" w:eastAsia="Calibri" w:hAnsi="Calibri" w:cs="Times New Roman"/>
                <w:b/>
                <w:bCs/>
                <w:sz w:val="20"/>
                <w:szCs w:val="20"/>
              </w:rPr>
            </w:pPr>
            <w:r w:rsidRPr="008A401B">
              <w:rPr>
                <w:rFonts w:ascii="Calibri" w:eastAsia="Calibri" w:hAnsi="Calibri" w:cs="Times New Roman"/>
                <w:sz w:val="20"/>
                <w:szCs w:val="20"/>
              </w:rPr>
              <w:t>Cadre juridique et évaluation</w:t>
            </w:r>
          </w:p>
        </w:tc>
        <w:tc>
          <w:tcPr>
            <w:tcW w:w="3169" w:type="dxa"/>
            <w:tcBorders>
              <w:top w:val="single" w:sz="8" w:space="0" w:color="D9D9D9"/>
              <w:left w:val="nil"/>
              <w:bottom w:val="single" w:sz="4" w:space="0" w:color="auto"/>
              <w:right w:val="single" w:sz="8" w:space="0" w:color="D9D9D9"/>
            </w:tcBorders>
            <w:vAlign w:val="center"/>
            <w:hideMark/>
          </w:tcPr>
          <w:p w14:paraId="383E398F" w14:textId="77777777" w:rsidR="00580962" w:rsidRPr="008A401B" w:rsidRDefault="00580962" w:rsidP="00F3373E">
            <w:pPr>
              <w:spacing w:line="240" w:lineRule="auto"/>
              <w:rPr>
                <w:rFonts w:ascii="Calibri" w:eastAsia="Calibri" w:hAnsi="Calibri" w:cs="Times New Roman"/>
                <w:b/>
                <w:bCs/>
                <w:sz w:val="20"/>
                <w:szCs w:val="20"/>
              </w:rPr>
            </w:pPr>
            <w:r w:rsidRPr="008A401B">
              <w:rPr>
                <w:rFonts w:ascii="Calibri" w:eastAsia="Calibri" w:hAnsi="Calibri" w:cs="Times New Roman"/>
                <w:b/>
                <w:bCs/>
                <w:sz w:val="20"/>
                <w:szCs w:val="20"/>
              </w:rPr>
              <w:t xml:space="preserve">DR3. Renforcer la gouvernance du système éducatif </w:t>
            </w:r>
          </w:p>
          <w:p w14:paraId="4632F0CD" w14:textId="77777777" w:rsidR="00580962" w:rsidRPr="008A401B" w:rsidRDefault="00580962" w:rsidP="008B048C">
            <w:pPr>
              <w:numPr>
                <w:ilvl w:val="0"/>
                <w:numId w:val="7"/>
              </w:numPr>
              <w:spacing w:line="240" w:lineRule="auto"/>
              <w:contextualSpacing/>
              <w:rPr>
                <w:rFonts w:ascii="Calibri" w:eastAsia="Calibri" w:hAnsi="Calibri" w:cs="Times New Roman"/>
                <w:sz w:val="20"/>
                <w:szCs w:val="20"/>
              </w:rPr>
            </w:pPr>
            <w:r w:rsidRPr="008A401B">
              <w:rPr>
                <w:rFonts w:ascii="Calibri" w:eastAsia="Calibri" w:hAnsi="Calibri" w:cs="Times New Roman"/>
                <w:sz w:val="20"/>
                <w:szCs w:val="20"/>
              </w:rPr>
              <w:t>Déploiement du système d’information SIRAGE</w:t>
            </w:r>
          </w:p>
          <w:p w14:paraId="2B4CB7C0" w14:textId="77777777" w:rsidR="00580962" w:rsidRPr="008A401B" w:rsidRDefault="00580962" w:rsidP="008B048C">
            <w:pPr>
              <w:numPr>
                <w:ilvl w:val="0"/>
                <w:numId w:val="7"/>
              </w:numPr>
              <w:spacing w:line="240" w:lineRule="auto"/>
              <w:contextualSpacing/>
              <w:rPr>
                <w:rFonts w:ascii="Calibri" w:eastAsia="Times New Roman" w:hAnsi="Calibri" w:cs="Calibri"/>
                <w:color w:val="000000"/>
                <w:sz w:val="20"/>
                <w:szCs w:val="20"/>
              </w:rPr>
            </w:pPr>
            <w:r w:rsidRPr="008A401B">
              <w:rPr>
                <w:rFonts w:ascii="Calibri" w:eastAsia="Calibri" w:hAnsi="Calibri" w:cs="Times New Roman"/>
                <w:sz w:val="20"/>
                <w:szCs w:val="20"/>
              </w:rPr>
              <w:t>Renforcement de la participation communautaire et parentale dans la gestion scolaire (COGES)</w:t>
            </w:r>
          </w:p>
        </w:tc>
        <w:tc>
          <w:tcPr>
            <w:tcW w:w="1829" w:type="dxa"/>
            <w:tcBorders>
              <w:top w:val="nil"/>
              <w:left w:val="nil"/>
              <w:bottom w:val="single" w:sz="4" w:space="0" w:color="auto"/>
              <w:right w:val="single" w:sz="4" w:space="0" w:color="000000"/>
            </w:tcBorders>
            <w:vAlign w:val="center"/>
            <w:hideMark/>
          </w:tcPr>
          <w:p w14:paraId="3931FAF8" w14:textId="77777777" w:rsidR="00580962" w:rsidRPr="008A401B" w:rsidRDefault="00580962" w:rsidP="00F3373E">
            <w:pPr>
              <w:spacing w:line="240" w:lineRule="auto"/>
              <w:jc w:val="center"/>
              <w:rPr>
                <w:rFonts w:ascii="Calibri" w:eastAsia="Times New Roman" w:hAnsi="Calibri" w:cs="Calibri"/>
                <w:color w:val="000000"/>
                <w:sz w:val="20"/>
                <w:szCs w:val="20"/>
              </w:rPr>
            </w:pPr>
            <w:r w:rsidRPr="008A401B">
              <w:rPr>
                <w:rFonts w:ascii="Calibri" w:eastAsia="Calibri" w:hAnsi="Calibri" w:cs="Times New Roman"/>
                <w:sz w:val="20"/>
                <w:szCs w:val="20"/>
              </w:rPr>
              <w:t xml:space="preserve">Pleinement aligné, avec un nombre limité de résultats faisant l’objet de mesures incitatives dans le cadre du </w:t>
            </w:r>
            <w:proofErr w:type="spellStart"/>
            <w:r w:rsidRPr="008A401B">
              <w:rPr>
                <w:rFonts w:ascii="Calibri" w:eastAsia="Calibri" w:hAnsi="Calibri" w:cs="Times New Roman"/>
                <w:sz w:val="20"/>
                <w:szCs w:val="20"/>
              </w:rPr>
              <w:t>PforR</w:t>
            </w:r>
            <w:proofErr w:type="spellEnd"/>
            <w:r w:rsidRPr="008A401B">
              <w:rPr>
                <w:rFonts w:ascii="Calibri" w:eastAsia="Times New Roman" w:hAnsi="Calibri" w:cs="Calibri"/>
                <w:color w:val="000000"/>
                <w:sz w:val="20"/>
                <w:szCs w:val="20"/>
              </w:rPr>
              <w:t>.</w:t>
            </w:r>
          </w:p>
        </w:tc>
      </w:tr>
      <w:tr w:rsidR="00580962" w:rsidRPr="008A401B" w14:paraId="37908FD0" w14:textId="77777777" w:rsidTr="00F3373E">
        <w:trPr>
          <w:trHeight w:val="170"/>
          <w:jc w:val="center"/>
        </w:trPr>
        <w:tc>
          <w:tcPr>
            <w:tcW w:w="1478" w:type="dxa"/>
            <w:tcBorders>
              <w:top w:val="single" w:sz="4" w:space="0" w:color="auto"/>
              <w:left w:val="single" w:sz="4" w:space="0" w:color="auto"/>
              <w:bottom w:val="single" w:sz="4" w:space="0" w:color="auto"/>
              <w:right w:val="single" w:sz="4" w:space="0" w:color="auto"/>
            </w:tcBorders>
            <w:vAlign w:val="center"/>
            <w:hideMark/>
          </w:tcPr>
          <w:p w14:paraId="3D635A93" w14:textId="77777777" w:rsidR="00580962" w:rsidRPr="008A401B" w:rsidRDefault="00580962" w:rsidP="00F3373E">
            <w:pPr>
              <w:spacing w:line="240" w:lineRule="auto"/>
              <w:jc w:val="both"/>
              <w:rPr>
                <w:rFonts w:ascii="Calibri" w:eastAsia="Times New Roman" w:hAnsi="Calibri" w:cs="Calibri"/>
                <w:b/>
                <w:bCs/>
                <w:color w:val="000000"/>
                <w:sz w:val="20"/>
                <w:szCs w:val="20"/>
              </w:rPr>
            </w:pPr>
            <w:r w:rsidRPr="008A401B">
              <w:rPr>
                <w:rFonts w:ascii="Calibri" w:eastAsia="Calibri" w:hAnsi="Calibri" w:cs="Times New Roman"/>
                <w:b/>
                <w:bCs/>
                <w:sz w:val="20"/>
                <w:szCs w:val="20"/>
              </w:rPr>
              <w:t>Financement global</w:t>
            </w:r>
          </w:p>
        </w:tc>
        <w:tc>
          <w:tcPr>
            <w:tcW w:w="4348" w:type="dxa"/>
            <w:tcBorders>
              <w:top w:val="single" w:sz="4" w:space="0" w:color="auto"/>
              <w:left w:val="single" w:sz="4" w:space="0" w:color="auto"/>
              <w:bottom w:val="single" w:sz="4" w:space="0" w:color="auto"/>
              <w:right w:val="single" w:sz="4" w:space="0" w:color="auto"/>
            </w:tcBorders>
            <w:vAlign w:val="center"/>
            <w:hideMark/>
          </w:tcPr>
          <w:p w14:paraId="279682FC" w14:textId="77777777" w:rsidR="00580962" w:rsidRPr="008A401B" w:rsidRDefault="00580962" w:rsidP="00F3373E">
            <w:pPr>
              <w:spacing w:line="240" w:lineRule="auto"/>
              <w:jc w:val="center"/>
              <w:rPr>
                <w:rFonts w:ascii="Calibri" w:eastAsia="Times New Roman" w:hAnsi="Calibri" w:cs="Calibri"/>
                <w:b/>
                <w:bCs/>
                <w:color w:val="000000"/>
                <w:sz w:val="20"/>
                <w:szCs w:val="20"/>
              </w:rPr>
            </w:pPr>
            <w:r w:rsidRPr="008A401B">
              <w:rPr>
                <w:rFonts w:ascii="Calibri" w:eastAsia="Times New Roman" w:hAnsi="Calibri" w:cs="Calibri"/>
                <w:b/>
                <w:bCs/>
                <w:color w:val="000000"/>
                <w:sz w:val="20"/>
                <w:szCs w:val="20"/>
              </w:rPr>
              <w:t xml:space="preserve">145 </w:t>
            </w:r>
            <w:proofErr w:type="gramStart"/>
            <w:r w:rsidRPr="008A401B">
              <w:rPr>
                <w:rFonts w:ascii="Calibri" w:eastAsia="Times New Roman" w:hAnsi="Calibri" w:cs="Calibri"/>
                <w:b/>
                <w:bCs/>
                <w:color w:val="000000"/>
                <w:sz w:val="20"/>
                <w:szCs w:val="20"/>
              </w:rPr>
              <w:t>million</w:t>
            </w:r>
            <w:proofErr w:type="gramEnd"/>
            <w:r w:rsidRPr="008A401B">
              <w:rPr>
                <w:rFonts w:ascii="Calibri" w:eastAsia="Times New Roman" w:hAnsi="Calibri" w:cs="Calibri"/>
                <w:b/>
                <w:bCs/>
                <w:color w:val="000000"/>
                <w:sz w:val="20"/>
                <w:szCs w:val="20"/>
              </w:rPr>
              <w:t xml:space="preserve"> USD</w:t>
            </w:r>
          </w:p>
        </w:tc>
        <w:tc>
          <w:tcPr>
            <w:tcW w:w="3169" w:type="dxa"/>
            <w:tcBorders>
              <w:top w:val="single" w:sz="4" w:space="0" w:color="auto"/>
              <w:left w:val="single" w:sz="4" w:space="0" w:color="auto"/>
              <w:bottom w:val="single" w:sz="4" w:space="0" w:color="auto"/>
              <w:right w:val="single" w:sz="4" w:space="0" w:color="auto"/>
            </w:tcBorders>
            <w:vAlign w:val="center"/>
            <w:hideMark/>
          </w:tcPr>
          <w:p w14:paraId="542BBF42" w14:textId="77777777" w:rsidR="00580962" w:rsidRPr="008A401B" w:rsidRDefault="00580962" w:rsidP="00F3373E">
            <w:pPr>
              <w:spacing w:line="240" w:lineRule="auto"/>
              <w:jc w:val="center"/>
              <w:rPr>
                <w:rFonts w:ascii="Calibri" w:eastAsia="Times New Roman" w:hAnsi="Calibri" w:cs="Calibri"/>
                <w:b/>
                <w:bCs/>
                <w:color w:val="000000"/>
                <w:sz w:val="20"/>
                <w:szCs w:val="20"/>
              </w:rPr>
            </w:pPr>
            <w:r w:rsidRPr="008A401B">
              <w:rPr>
                <w:rFonts w:ascii="Calibri" w:eastAsia="Times New Roman" w:hAnsi="Calibri" w:cs="Calibri"/>
                <w:b/>
                <w:bCs/>
                <w:color w:val="000000"/>
                <w:sz w:val="20"/>
                <w:szCs w:val="20"/>
              </w:rPr>
              <w:t xml:space="preserve">70 </w:t>
            </w:r>
            <w:proofErr w:type="gramStart"/>
            <w:r w:rsidRPr="008A401B">
              <w:rPr>
                <w:rFonts w:ascii="Calibri" w:eastAsia="Times New Roman" w:hAnsi="Calibri" w:cs="Calibri"/>
                <w:b/>
                <w:bCs/>
                <w:color w:val="000000"/>
                <w:sz w:val="20"/>
                <w:szCs w:val="20"/>
              </w:rPr>
              <w:t>million</w:t>
            </w:r>
            <w:proofErr w:type="gramEnd"/>
            <w:r w:rsidRPr="008A401B">
              <w:rPr>
                <w:rFonts w:ascii="Calibri" w:eastAsia="Times New Roman" w:hAnsi="Calibri" w:cs="Calibri"/>
                <w:b/>
                <w:bCs/>
                <w:color w:val="000000"/>
                <w:sz w:val="20"/>
                <w:szCs w:val="20"/>
              </w:rPr>
              <w:t xml:space="preserve"> USD</w:t>
            </w:r>
          </w:p>
        </w:tc>
        <w:tc>
          <w:tcPr>
            <w:tcW w:w="1829" w:type="dxa"/>
            <w:tcBorders>
              <w:top w:val="single" w:sz="4" w:space="0" w:color="auto"/>
              <w:left w:val="single" w:sz="4" w:space="0" w:color="auto"/>
              <w:bottom w:val="single" w:sz="4" w:space="0" w:color="auto"/>
              <w:right w:val="single" w:sz="4" w:space="0" w:color="auto"/>
            </w:tcBorders>
            <w:vAlign w:val="center"/>
            <w:hideMark/>
          </w:tcPr>
          <w:p w14:paraId="2D552C48" w14:textId="77777777" w:rsidR="00580962" w:rsidRPr="008A401B" w:rsidRDefault="00580962" w:rsidP="00F3373E">
            <w:pPr>
              <w:spacing w:line="240" w:lineRule="auto"/>
              <w:jc w:val="center"/>
              <w:rPr>
                <w:rFonts w:ascii="Calibri" w:eastAsia="Times New Roman" w:hAnsi="Calibri" w:cs="Calibri"/>
                <w:color w:val="000000"/>
                <w:sz w:val="20"/>
                <w:szCs w:val="20"/>
              </w:rPr>
            </w:pPr>
          </w:p>
        </w:tc>
      </w:tr>
    </w:tbl>
    <w:p w14:paraId="369C216F" w14:textId="3C7EA60E" w:rsidR="00B8553C" w:rsidRDefault="00B8553C">
      <w:pPr>
        <w:rPr>
          <w:rFonts w:ascii="Aptos" w:eastAsia="Calibri" w:hAnsi="Aptos" w:cs="Times New Roman"/>
          <w:b/>
          <w:bCs/>
        </w:rPr>
      </w:pPr>
    </w:p>
    <w:p w14:paraId="7E3DDC1F" w14:textId="04CC8F25" w:rsidR="00367AF1" w:rsidRPr="00BE5E0B" w:rsidRDefault="00367AF1" w:rsidP="00216CAF">
      <w:pPr>
        <w:jc w:val="both"/>
        <w:rPr>
          <w:rFonts w:ascii="Aptos" w:eastAsia="Calibri" w:hAnsi="Aptos" w:cs="Times New Roman"/>
          <w:b/>
          <w:bCs/>
        </w:rPr>
      </w:pPr>
      <w:r w:rsidRPr="00BE5E0B">
        <w:rPr>
          <w:rFonts w:ascii="Aptos" w:eastAsia="Calibri" w:hAnsi="Aptos" w:cs="Times New Roman"/>
          <w:b/>
          <w:bCs/>
        </w:rPr>
        <w:t>Domaine de résultats 1 : Améliorer la qualité de l’enseignement de base</w:t>
      </w:r>
    </w:p>
    <w:p w14:paraId="26328A67" w14:textId="7B509625" w:rsidR="00367AF1" w:rsidRPr="00D401FA" w:rsidRDefault="00367AF1" w:rsidP="00216CAF">
      <w:pPr>
        <w:jc w:val="both"/>
        <w:rPr>
          <w:rFonts w:ascii="Aptos" w:eastAsia="Calibri" w:hAnsi="Aptos" w:cs="Times New Roman"/>
        </w:rPr>
      </w:pPr>
      <w:r w:rsidRPr="00BE5E0B">
        <w:rPr>
          <w:rFonts w:ascii="Aptos" w:eastAsia="Calibri" w:hAnsi="Aptos" w:cs="Times New Roman"/>
          <w:b/>
          <w:bCs/>
        </w:rPr>
        <w:t xml:space="preserve">L’amélioration de la qualité de l’enseignement de base en Mauritanie est au cœur du Programme IQRAA. </w:t>
      </w:r>
      <w:r w:rsidRPr="00D401FA">
        <w:rPr>
          <w:rFonts w:ascii="Aptos" w:eastAsia="Calibri" w:hAnsi="Aptos" w:cs="Times New Roman"/>
        </w:rPr>
        <w:t>Elle permet de s’attaquer directement aux faiblesses systémiques à l’origine des faibles résultats d’apprentissage. De nombreux enseignants ne disposant pas de qualifications professionnelles et une part importante des élèves ne maîtrisant pas les compétences fondamentales en littératie et en numératie, ce domaine de résultats est fortement axé sur l’amélioration de la qualité de l’enseignement, la réforme des programmes d’enseignement et l’élargissement de l’accès à l’éducation préscolaire. Ces efforts visent à poser des bases solides pour les apprentissages à l’échelle nationale, en particulier pour les populations marginalisées.</w:t>
      </w:r>
    </w:p>
    <w:p w14:paraId="549D1E49" w14:textId="5B60A855" w:rsidR="00367AF1" w:rsidRPr="00D401FA" w:rsidRDefault="00367AF1" w:rsidP="00216CAF">
      <w:pPr>
        <w:jc w:val="both"/>
        <w:rPr>
          <w:rFonts w:ascii="Aptos" w:eastAsia="Calibri" w:hAnsi="Aptos" w:cs="Times New Roman"/>
        </w:rPr>
      </w:pPr>
      <w:r w:rsidRPr="00BE5E0B">
        <w:rPr>
          <w:rFonts w:ascii="Aptos" w:eastAsia="Calibri" w:hAnsi="Aptos" w:cs="Times New Roman"/>
        </w:rPr>
        <w:t>Ce domaine est fortement axé sur l’amélioration de l’efficacité des enseignants grâce à la formation initiale et continue portant sur des approches pédagogiques modernes, les compétences numériques et les stratégies de gestion de classes hétérogènes et souvent difficiles.</w:t>
      </w:r>
      <w:r w:rsidRPr="00D401FA">
        <w:rPr>
          <w:rFonts w:ascii="Aptos" w:eastAsia="Calibri" w:hAnsi="Aptos" w:cs="Times New Roman"/>
        </w:rPr>
        <w:t xml:space="preserve"> Ciblant les zones rurales et mal desservies, le Programme dotera les enseignants des outils nécessaires pour améliorer les interactions en classe et les résultats d’apprentissage, avec pour objectif qu’une large proportion d’entre eux bénéficie de programmes de formation professionnelle continue (jusqu’à 80 pour cent d’ici 2030). La réforme des programmes d’enseignement constitue </w:t>
      </w:r>
      <w:r w:rsidR="00625855">
        <w:rPr>
          <w:rFonts w:ascii="Aptos" w:eastAsia="Calibri" w:hAnsi="Aptos" w:cs="Times New Roman"/>
        </w:rPr>
        <w:t>une autre intervention</w:t>
      </w:r>
      <w:r w:rsidRPr="00D401FA">
        <w:rPr>
          <w:rFonts w:ascii="Aptos" w:eastAsia="Calibri" w:hAnsi="Aptos" w:cs="Times New Roman"/>
        </w:rPr>
        <w:t xml:space="preserve"> critique en ce qu’elle privilégie des approches par les compétences mettant l’accent sur la littératie, la numératie et les STEM. Ces réformes </w:t>
      </w:r>
      <w:r w:rsidRPr="00D401FA">
        <w:rPr>
          <w:rFonts w:ascii="Aptos" w:eastAsia="Calibri" w:hAnsi="Aptos" w:cs="Times New Roman"/>
        </w:rPr>
        <w:lastRenderedPageBreak/>
        <w:t>visent à combler les lacunes d’apprentissage, à favoriser l’esprit critique et à préparer les élèves à l’enseignement supérieur et à l’emploi. Le Programme vise une augmentation soutenue des taux de maîtrise en littératie et en numératie chez les élèves de 4</w:t>
      </w:r>
      <w:r w:rsidRPr="00D401FA">
        <w:rPr>
          <w:rFonts w:ascii="Aptos" w:eastAsia="Calibri" w:hAnsi="Aptos" w:cs="Times New Roman"/>
          <w:vertAlign w:val="superscript"/>
        </w:rPr>
        <w:t>e</w:t>
      </w:r>
      <w:r w:rsidRPr="00D401FA">
        <w:rPr>
          <w:rFonts w:ascii="Aptos" w:eastAsia="Calibri" w:hAnsi="Aptos" w:cs="Times New Roman"/>
        </w:rPr>
        <w:t xml:space="preserve"> année, de 31 à 40 pour cent, posant ainsi les bases d’une réussite scolaire à long terme. L’élargissement de l’accès à l’éducation préscolaire est essentiel pour améliorer la préparation à la scolarité et réduire les disparités. À l’heure actuelle, moins de 10 pour cent des enfants bénéficient de programmes structurés de développement de la petite enfance, l’accès étant concentré dans les zones urbaines. Le Programme créera de nouvelles structures préscolaires, formera des éducateurs et développera des programmes communautaires dans les zones rurales, </w:t>
      </w:r>
      <w:r w:rsidR="006040C0" w:rsidRPr="00D401FA">
        <w:rPr>
          <w:rFonts w:ascii="Aptos" w:eastAsia="Calibri" w:hAnsi="Aptos" w:cs="Times New Roman"/>
        </w:rPr>
        <w:t xml:space="preserve">pour élargir l’accès. En portant de 5 à 50 pour cent la proportion d’enfants ayant bénéficié d’au moins une année d’éducation préscolaire, le Programme vise à mieux préparer les enfants à l’enseignement primaire et à l’apprentissage tout au long de la vie. </w:t>
      </w:r>
    </w:p>
    <w:p w14:paraId="2A9FBB60" w14:textId="37164518" w:rsidR="00367AF1" w:rsidRPr="00D401FA" w:rsidRDefault="00367AF1" w:rsidP="00216CAF">
      <w:pPr>
        <w:jc w:val="both"/>
        <w:rPr>
          <w:rFonts w:ascii="Aptos" w:eastAsia="Calibri" w:hAnsi="Aptos" w:cs="Times New Roman"/>
        </w:rPr>
      </w:pPr>
      <w:r w:rsidRPr="00BE5E0B">
        <w:rPr>
          <w:rFonts w:ascii="Aptos" w:eastAsia="Calibri" w:hAnsi="Aptos" w:cs="Times New Roman"/>
          <w:b/>
          <w:bCs/>
        </w:rPr>
        <w:t>En améliorant les capacités des enseignants, en modernisant les programmes d’enseignement et en élargissant l’accès à l’éducation préscolaire, le Programme vise à transformer l’enseignement de base en Mauritanie</w:t>
      </w:r>
      <w:r w:rsidRPr="00D401FA">
        <w:rPr>
          <w:rFonts w:ascii="Aptos" w:eastAsia="Calibri" w:hAnsi="Aptos" w:cs="Times New Roman"/>
        </w:rPr>
        <w:t>. Ces interventions devraient permettre de s’attaquer aux causes profondes des faibles résultats d’apprentissage, de promouvoir l’inclusion sociale, de réduire les taux d’abandon scolaire et de doter les enfants des compétences nécessaires pour contribuer au développement économique et social du pays.</w:t>
      </w:r>
      <w:r w:rsidR="006040C0" w:rsidRPr="00D401FA">
        <w:rPr>
          <w:rFonts w:ascii="Aptos" w:eastAsia="Calibri" w:hAnsi="Aptos" w:cs="Times New Roman"/>
        </w:rPr>
        <w:t xml:space="preserve"> À travers des investissements fondamentaux dans l’éducation, le Programme vise à générer des impacts durables et positifs pour tous les enfants mauritaniens.</w:t>
      </w:r>
    </w:p>
    <w:p w14:paraId="657CBF09" w14:textId="77777777" w:rsidR="00367AF1" w:rsidRPr="00BE5E0B" w:rsidRDefault="00367AF1" w:rsidP="00216CAF">
      <w:pPr>
        <w:jc w:val="both"/>
        <w:rPr>
          <w:rFonts w:ascii="Aptos" w:eastAsia="Calibri" w:hAnsi="Aptos" w:cs="Times New Roman"/>
          <w:b/>
          <w:bCs/>
        </w:rPr>
      </w:pPr>
      <w:r w:rsidRPr="00BE5E0B">
        <w:rPr>
          <w:rFonts w:ascii="Aptos" w:eastAsia="Calibri" w:hAnsi="Aptos" w:cs="Times New Roman"/>
          <w:b/>
          <w:bCs/>
        </w:rPr>
        <w:t>Domaine de résultats 2 : Améliorer l’accès à l’enseignement secondaire, en mettant l’accent sur les adolescentes, et renforcer la prestation des services éducatifs dans les zones d’accueil de réfugiés</w:t>
      </w:r>
    </w:p>
    <w:p w14:paraId="5483F90C" w14:textId="0FFB5BAA" w:rsidR="00367AF1" w:rsidRPr="00D401FA" w:rsidRDefault="00367AF1" w:rsidP="00216CAF">
      <w:pPr>
        <w:jc w:val="both"/>
        <w:rPr>
          <w:rFonts w:ascii="Aptos" w:eastAsia="Calibri" w:hAnsi="Aptos" w:cs="Times New Roman"/>
        </w:rPr>
      </w:pPr>
      <w:r w:rsidRPr="00BE5E0B">
        <w:rPr>
          <w:rFonts w:ascii="Aptos" w:eastAsia="Calibri" w:hAnsi="Aptos" w:cs="Times New Roman"/>
          <w:b/>
          <w:bCs/>
        </w:rPr>
        <w:t>L’élargissement de l’accès à l’enseignement secondaire pour les adolescentes constitue un</w:t>
      </w:r>
      <w:r w:rsidR="007B4B5E">
        <w:rPr>
          <w:rFonts w:ascii="Aptos" w:eastAsia="Calibri" w:hAnsi="Aptos" w:cs="Times New Roman"/>
          <w:b/>
          <w:bCs/>
        </w:rPr>
        <w:t xml:space="preserve"> élément</w:t>
      </w:r>
      <w:r w:rsidRPr="00BE5E0B">
        <w:rPr>
          <w:rFonts w:ascii="Aptos" w:eastAsia="Calibri" w:hAnsi="Aptos" w:cs="Times New Roman"/>
          <w:b/>
          <w:bCs/>
        </w:rPr>
        <w:t xml:space="preserve"> central du Programme IQRAA en ce qu’il permet de s’attaquer aux disparités de genre fortement ancrées dans le système éducatif mauritanien</w:t>
      </w:r>
      <w:r w:rsidRPr="00D401FA">
        <w:rPr>
          <w:rFonts w:ascii="Aptos" w:eastAsia="Calibri" w:hAnsi="Aptos" w:cs="Times New Roman"/>
        </w:rPr>
        <w:t xml:space="preserve">. </w:t>
      </w:r>
      <w:r w:rsidR="006040C0" w:rsidRPr="00D401FA">
        <w:rPr>
          <w:rFonts w:ascii="Aptos" w:eastAsia="Calibri" w:hAnsi="Aptos" w:cs="Times New Roman"/>
        </w:rPr>
        <w:t>Le</w:t>
      </w:r>
      <w:r w:rsidRPr="00D401FA">
        <w:rPr>
          <w:rFonts w:ascii="Aptos" w:eastAsia="Calibri" w:hAnsi="Aptos" w:cs="Times New Roman"/>
        </w:rPr>
        <w:t xml:space="preserve"> taux brut de scolarisation au lycée </w:t>
      </w:r>
      <w:r w:rsidR="006040C0" w:rsidRPr="00D401FA">
        <w:rPr>
          <w:rFonts w:ascii="Aptos" w:eastAsia="Calibri" w:hAnsi="Aptos" w:cs="Times New Roman"/>
        </w:rPr>
        <w:t>se situ</w:t>
      </w:r>
      <w:r w:rsidR="007B4B5E">
        <w:rPr>
          <w:rFonts w:ascii="Aptos" w:eastAsia="Calibri" w:hAnsi="Aptos" w:cs="Times New Roman"/>
        </w:rPr>
        <w:t>e</w:t>
      </w:r>
      <w:r w:rsidR="006040C0" w:rsidRPr="00D401FA">
        <w:rPr>
          <w:rFonts w:ascii="Aptos" w:eastAsia="Calibri" w:hAnsi="Aptos" w:cs="Times New Roman"/>
        </w:rPr>
        <w:t xml:space="preserve"> à </w:t>
      </w:r>
      <w:r w:rsidRPr="00D401FA">
        <w:rPr>
          <w:rFonts w:ascii="Aptos" w:eastAsia="Calibri" w:hAnsi="Aptos" w:cs="Times New Roman"/>
        </w:rPr>
        <w:t>seulement 28 pour cent pour les filles</w:t>
      </w:r>
      <w:r w:rsidR="007B4B5E">
        <w:rPr>
          <w:rFonts w:ascii="Aptos" w:eastAsia="Calibri" w:hAnsi="Aptos" w:cs="Times New Roman"/>
        </w:rPr>
        <w:t xml:space="preserve"> et</w:t>
      </w:r>
      <w:r w:rsidRPr="00D401FA">
        <w:rPr>
          <w:rFonts w:ascii="Aptos" w:eastAsia="Calibri" w:hAnsi="Aptos" w:cs="Times New Roman"/>
        </w:rPr>
        <w:t xml:space="preserve"> de nombreuses adolescentes ne peuvent pas poursuivre leurs études en raison d’obstacles socio-économiques, d’infrastructures inadéquates et de normes socioculturelles. Ce domaine de résultats est fortement axé sur l’a</w:t>
      </w:r>
      <w:r w:rsidR="007B4B5E">
        <w:rPr>
          <w:rFonts w:ascii="Aptos" w:eastAsia="Calibri" w:hAnsi="Aptos" w:cs="Times New Roman"/>
        </w:rPr>
        <w:t>mélioration</w:t>
      </w:r>
      <w:r w:rsidRPr="00D401FA">
        <w:rPr>
          <w:rFonts w:ascii="Aptos" w:eastAsia="Calibri" w:hAnsi="Aptos" w:cs="Times New Roman"/>
        </w:rPr>
        <w:t xml:space="preserve"> des taux de scolarisation, de rétention et d’achèvement pour les adolescentes et les garçons et s’attaque aux obstacles structurels et sociaux qui entravent leur participation à l’éducation.</w:t>
      </w:r>
      <w:r w:rsidR="006040C0" w:rsidRPr="00D401FA">
        <w:rPr>
          <w:rFonts w:ascii="Aptos" w:eastAsia="Calibri" w:hAnsi="Aptos" w:cs="Times New Roman"/>
        </w:rPr>
        <w:t xml:space="preserve"> </w:t>
      </w:r>
      <w:r w:rsidR="007B4B5E">
        <w:rPr>
          <w:rFonts w:ascii="Aptos" w:eastAsia="Calibri" w:hAnsi="Aptos" w:cs="Times New Roman"/>
        </w:rPr>
        <w:t>Le Domaine de résultats 2</w:t>
      </w:r>
      <w:r w:rsidRPr="00D401FA">
        <w:rPr>
          <w:rFonts w:ascii="Aptos" w:eastAsia="Calibri" w:hAnsi="Aptos" w:cs="Times New Roman"/>
        </w:rPr>
        <w:t xml:space="preserve"> traite également des pressions émergentes en matière d’accès et de prestation de services dans les zones d’accueil de réfugiés, où les déplacements forcés ont exacerbé les contraintes existantes tout au long du cycle éducatif. Dans ces zones, les enfants réfugiés font face à des défis dans leur transition vers le système éducatif national, notamment des différences de programmes d’enseignement</w:t>
      </w:r>
      <w:r w:rsidR="007B4B5E">
        <w:rPr>
          <w:rFonts w:ascii="Aptos" w:eastAsia="Calibri" w:hAnsi="Aptos" w:cs="Times New Roman"/>
        </w:rPr>
        <w:t xml:space="preserve"> et</w:t>
      </w:r>
      <w:r w:rsidRPr="00D401FA">
        <w:rPr>
          <w:rFonts w:ascii="Aptos" w:eastAsia="Calibri" w:hAnsi="Aptos" w:cs="Times New Roman"/>
        </w:rPr>
        <w:t xml:space="preserve"> de langue d’enseignement et l’interruption des parcours scolaires, tandis que les écoles des communautés d’accueil subissent une pression accrue sur les effectifs et les capacités. Les </w:t>
      </w:r>
      <w:r w:rsidR="007B4B5E">
        <w:rPr>
          <w:rFonts w:ascii="Aptos" w:eastAsia="Calibri" w:hAnsi="Aptos" w:cs="Times New Roman"/>
        </w:rPr>
        <w:t xml:space="preserve">interventions appuyées par le </w:t>
      </w:r>
      <w:r w:rsidRPr="00D401FA">
        <w:rPr>
          <w:rFonts w:ascii="Aptos" w:eastAsia="Calibri" w:hAnsi="Aptos" w:cs="Times New Roman"/>
        </w:rPr>
        <w:t xml:space="preserve">WHR dans ce domaine permettent de renforcer la capacité du système, les compétences des enseignants et la disponibilité de données, tout en élargissant l’accès à l’éducation via les systèmes nationaux. </w:t>
      </w:r>
    </w:p>
    <w:p w14:paraId="17559392" w14:textId="0607387A" w:rsidR="006040C0" w:rsidRPr="00D401FA" w:rsidRDefault="00367AF1" w:rsidP="00216CAF">
      <w:pPr>
        <w:jc w:val="both"/>
        <w:rPr>
          <w:rFonts w:ascii="Aptos" w:eastAsia="Calibri" w:hAnsi="Aptos"/>
        </w:rPr>
      </w:pPr>
      <w:r w:rsidRPr="00D401FA">
        <w:rPr>
          <w:rFonts w:ascii="Aptos" w:eastAsia="Calibri" w:hAnsi="Aptos" w:cs="Times New Roman"/>
        </w:rPr>
        <w:t xml:space="preserve">Un axe clé d’intervention consiste à développer et étendre les établissements d’enseignement secondaire, en particulier dans les zones mal desservies où l’accès est fortement limité. Ces établissements seront dotés d’infrastructures </w:t>
      </w:r>
      <w:r w:rsidR="007B4B5E">
        <w:rPr>
          <w:rFonts w:ascii="Aptos" w:eastAsia="Calibri" w:hAnsi="Aptos" w:cs="Times New Roman"/>
        </w:rPr>
        <w:t>climato-résilientes</w:t>
      </w:r>
      <w:r w:rsidRPr="00D401FA">
        <w:rPr>
          <w:rFonts w:ascii="Aptos" w:eastAsia="Calibri" w:hAnsi="Aptos" w:cs="Times New Roman"/>
        </w:rPr>
        <w:t xml:space="preserve"> et sensibles au genre, telles que des installations sanitaires séparées pour les filles et les garçons, des espaces d’apprentissage sûrs et des équipements adéquats</w:t>
      </w:r>
      <w:r w:rsidR="007B4B5E">
        <w:rPr>
          <w:rFonts w:ascii="Aptos" w:eastAsia="Calibri" w:hAnsi="Aptos" w:cs="Times New Roman"/>
        </w:rPr>
        <w:t xml:space="preserve"> pour les salles de classe</w:t>
      </w:r>
      <w:r w:rsidRPr="00D401FA">
        <w:rPr>
          <w:rFonts w:ascii="Aptos" w:eastAsia="Calibri" w:hAnsi="Aptos" w:cs="Times New Roman"/>
        </w:rPr>
        <w:t xml:space="preserve">. Ces améliorations </w:t>
      </w:r>
      <w:r w:rsidRPr="00D401FA">
        <w:rPr>
          <w:rFonts w:ascii="Aptos" w:eastAsia="Calibri" w:hAnsi="Aptos" w:cs="Times New Roman"/>
        </w:rPr>
        <w:lastRenderedPageBreak/>
        <w:t>sont essentielles pour créer un environnement d’apprentissage propice, notamment pour les filles qui quittent souvent l’école en raison de préoccupations en matière de sécurité et d’intimité.</w:t>
      </w:r>
      <w:r w:rsidR="006040C0" w:rsidRPr="00D401FA">
        <w:rPr>
          <w:rFonts w:ascii="Aptos" w:eastAsia="Calibri" w:hAnsi="Aptos" w:cs="Times New Roman"/>
        </w:rPr>
        <w:t xml:space="preserve"> En réduisant la distance que les filles doivent parcourir pour se rendre à l’école, ces initiatives permettent également de lever un frein important pour les familles hésitant à scolariser leurs filles dans des établissements éloignés, en particulier en milieu rural. </w:t>
      </w:r>
      <w:r w:rsidRPr="00D401FA">
        <w:rPr>
          <w:rFonts w:ascii="Aptos" w:eastAsia="Calibri" w:hAnsi="Aptos" w:cs="Times New Roman"/>
        </w:rPr>
        <w:t>Des incitations financières, notamment des bourses et des allocations, viendront compléter ces mesures pour les filles issues de ménages à faible revenu. Les difficultés économiques constituent en effet l’un des principaux obstacles à l’éducation des filles, de nombreuses familles privilégiant la scolarisation des garçons lorsqu’elles ne disposent que de peu de ressources. En allégeant cette contrainte, et en pleine complémentarité avec le Projet d’autonomisation des femmes et dividende démographique au Sahel (</w:t>
      </w:r>
      <w:r w:rsidR="006040C0" w:rsidRPr="00D401FA">
        <w:rPr>
          <w:rFonts w:ascii="Aptos" w:eastAsia="Calibri" w:hAnsi="Aptos" w:cs="Times New Roman"/>
        </w:rPr>
        <w:t xml:space="preserve">SWEDD+, </w:t>
      </w:r>
      <w:r w:rsidRPr="00D401FA">
        <w:rPr>
          <w:rFonts w:ascii="Aptos" w:eastAsia="Calibri" w:hAnsi="Aptos" w:cs="Times New Roman"/>
        </w:rPr>
        <w:t>P176693), le Programme permettra à davantage de filles de rester à l’école, en particulier dans les régions caractérisées par des niveaux élevés de pauvreté et d’abandon scolaire.</w:t>
      </w:r>
      <w:r w:rsidR="006040C0" w:rsidRPr="00D401FA">
        <w:rPr>
          <w:rFonts w:ascii="Aptos" w:eastAsia="Calibri" w:hAnsi="Aptos" w:cs="Times New Roman"/>
        </w:rPr>
        <w:t xml:space="preserve"> </w:t>
      </w:r>
      <w:r w:rsidR="006040C0" w:rsidRPr="00D401FA">
        <w:rPr>
          <w:rFonts w:ascii="Aptos" w:eastAsia="Calibri" w:hAnsi="Aptos"/>
        </w:rPr>
        <w:t>Ces efforts visent à accroître à la fois la scolarisation et la rétention, permettant aux filles de progresser jusqu’au second cycle de l’enseignement secondaire.</w:t>
      </w:r>
    </w:p>
    <w:p w14:paraId="0103286F" w14:textId="6F2A3527" w:rsidR="00367AF1" w:rsidRPr="00D401FA" w:rsidRDefault="006040C0" w:rsidP="00216CAF">
      <w:pPr>
        <w:jc w:val="both"/>
        <w:rPr>
          <w:rFonts w:ascii="Aptos" w:eastAsia="Calibri" w:hAnsi="Aptos" w:cs="Times New Roman"/>
        </w:rPr>
      </w:pPr>
      <w:r w:rsidRPr="003D4198">
        <w:rPr>
          <w:rFonts w:ascii="Aptos" w:eastAsia="Calibri" w:hAnsi="Aptos" w:cs="Times New Roman"/>
        </w:rPr>
        <w:t>E</w:t>
      </w:r>
      <w:r w:rsidR="00367AF1" w:rsidRPr="003D4198">
        <w:rPr>
          <w:rFonts w:ascii="Aptos" w:eastAsia="Calibri" w:hAnsi="Aptos" w:cs="Times New Roman"/>
        </w:rPr>
        <w:t xml:space="preserve">n </w:t>
      </w:r>
      <w:r w:rsidR="00367AF1" w:rsidRPr="00D401FA">
        <w:rPr>
          <w:rFonts w:ascii="Aptos" w:eastAsia="Calibri" w:hAnsi="Aptos" w:cs="Times New Roman"/>
        </w:rPr>
        <w:t>réponse aux obstacles socioculturels, le Programme renforcera le soutien à l’éducation des filles à travers des initiatives de sensibilisation communautaire visant à faire évoluer les attitudes</w:t>
      </w:r>
      <w:r w:rsidRPr="00D401FA">
        <w:rPr>
          <w:rFonts w:ascii="Aptos" w:eastAsia="Calibri" w:hAnsi="Aptos" w:cs="Times New Roman"/>
        </w:rPr>
        <w:t xml:space="preserve"> et favorisant le soutien à l’éducation des filles. </w:t>
      </w:r>
      <w:r w:rsidR="007056D7" w:rsidRPr="00D401FA">
        <w:rPr>
          <w:rFonts w:ascii="Aptos" w:eastAsia="Calibri" w:hAnsi="Aptos" w:cs="Times New Roman"/>
        </w:rPr>
        <w:t>Les opportunités éducatives des filles sont souvent limitées par des facteurs tels que les mariages précoces, le travail des enfants et les attentes sociales concernant leur rôle au sein du ménage.</w:t>
      </w:r>
      <w:r w:rsidR="00367AF1" w:rsidRPr="00D401FA">
        <w:rPr>
          <w:rFonts w:ascii="Aptos" w:eastAsia="Calibri" w:hAnsi="Aptos" w:cs="Times New Roman"/>
        </w:rPr>
        <w:t xml:space="preserve"> À travers des campagnes de sensibilisation et la mobilisation des leaders locaux, des parents et des communautés, le Programme créera un environnement favorable dans lequel les filles sont encouragées et soutenues dans la poursuite de leur parcours éducatif.</w:t>
      </w:r>
    </w:p>
    <w:p w14:paraId="2AE08656" w14:textId="736F0C21" w:rsidR="007056D7" w:rsidRPr="00D401FA" w:rsidRDefault="00367AF1" w:rsidP="00216CAF">
      <w:pPr>
        <w:jc w:val="both"/>
        <w:rPr>
          <w:rFonts w:ascii="Aptos" w:eastAsia="Calibri" w:hAnsi="Aptos"/>
        </w:rPr>
      </w:pPr>
      <w:r w:rsidRPr="003D4198">
        <w:rPr>
          <w:rFonts w:ascii="Aptos" w:eastAsia="Calibri" w:hAnsi="Aptos" w:cs="Times New Roman"/>
          <w:b/>
          <w:bCs/>
        </w:rPr>
        <w:t>L’ensemble de ces initiatives devrait permettre d’améliorer sensiblement les résultats éducatifs des adolescentes.</w:t>
      </w:r>
      <w:r w:rsidRPr="00D401FA">
        <w:rPr>
          <w:rFonts w:ascii="Aptos" w:eastAsia="Calibri" w:hAnsi="Aptos" w:cs="Times New Roman"/>
        </w:rPr>
        <w:t xml:space="preserve"> D’ici 2030, le taux brut de scolarisation des filles au lycée </w:t>
      </w:r>
      <w:r w:rsidR="007056D7" w:rsidRPr="00D401FA">
        <w:rPr>
          <w:rFonts w:ascii="Aptos" w:eastAsia="Calibri" w:hAnsi="Aptos" w:cs="Times New Roman"/>
        </w:rPr>
        <w:t xml:space="preserve">devrait augmenter </w:t>
      </w:r>
      <w:r w:rsidRPr="00D401FA">
        <w:rPr>
          <w:rFonts w:ascii="Aptos" w:eastAsia="Calibri" w:hAnsi="Aptos" w:cs="Times New Roman"/>
        </w:rPr>
        <w:t>de 28 à 50 pour cent, avec une réduction de 20 pour cent des taux d’abandon et un taux brut d’achèvement de 33 pour cent. Au-delà de l’éducation, ces efforts contribueront à des résultats plus larges en matière de développement socio-économique et d’égalité de genre.</w:t>
      </w:r>
      <w:r w:rsidR="007056D7" w:rsidRPr="00D401FA">
        <w:rPr>
          <w:rFonts w:ascii="Aptos" w:eastAsia="Calibri" w:hAnsi="Aptos" w:cs="Times New Roman"/>
        </w:rPr>
        <w:t xml:space="preserve"> </w:t>
      </w:r>
      <w:r w:rsidR="007056D7" w:rsidRPr="00D401FA">
        <w:rPr>
          <w:rFonts w:ascii="Aptos" w:eastAsia="Calibri" w:hAnsi="Aptos"/>
        </w:rPr>
        <w:t>Les adolescentes instruites sont plus susceptibles de retarder le mariage, d’avoir des familles en meilleure santé et d’intégrer le marché du travail, contribuant ainsi à la croissance économique et favorisant un cycle de développement durable. En s’attaquant aux multiples obstacles à l’éducation des adolescentes, ce domaine de résultats vise à faire évoluer les normes sociales et à promouvoir un système éducatif plus inclusif et équitable en Mauritanie.</w:t>
      </w:r>
    </w:p>
    <w:p w14:paraId="51874FF9" w14:textId="77777777" w:rsidR="007056D7" w:rsidRPr="00D401FA" w:rsidRDefault="007056D7" w:rsidP="00216CAF">
      <w:pPr>
        <w:jc w:val="both"/>
        <w:rPr>
          <w:rFonts w:ascii="Aptos" w:eastAsia="Calibri" w:hAnsi="Aptos" w:cs="Times New Roman"/>
          <w:b/>
          <w:bCs/>
        </w:rPr>
      </w:pPr>
      <w:r w:rsidRPr="00D401FA">
        <w:rPr>
          <w:rFonts w:ascii="Aptos" w:eastAsia="Calibri" w:hAnsi="Aptos" w:cs="Times New Roman"/>
          <w:b/>
          <w:bCs/>
        </w:rPr>
        <w:t>Domaine de résultats 3 : Renforcer la gouvernance du système éducatif</w:t>
      </w:r>
    </w:p>
    <w:p w14:paraId="4B6D7821" w14:textId="70332959" w:rsidR="007056D7" w:rsidRPr="00D401FA" w:rsidRDefault="007056D7" w:rsidP="00216CAF">
      <w:pPr>
        <w:jc w:val="both"/>
        <w:rPr>
          <w:rFonts w:ascii="Aptos" w:eastAsia="Calibri" w:hAnsi="Aptos" w:cs="Times New Roman"/>
        </w:rPr>
      </w:pPr>
      <w:r w:rsidRPr="003D4198">
        <w:rPr>
          <w:rFonts w:ascii="Aptos" w:eastAsia="Calibri" w:hAnsi="Aptos" w:cs="Times New Roman"/>
          <w:b/>
          <w:bCs/>
        </w:rPr>
        <w:t xml:space="preserve">Le renforcement de la gouvernance constitue un pilier fondamental du Programme IQRAA en </w:t>
      </w:r>
      <w:r w:rsidR="00AE015D">
        <w:rPr>
          <w:rFonts w:ascii="Aptos" w:eastAsia="Calibri" w:hAnsi="Aptos" w:cs="Times New Roman"/>
          <w:b/>
          <w:bCs/>
        </w:rPr>
        <w:t xml:space="preserve">ce qu’il </w:t>
      </w:r>
      <w:r w:rsidRPr="003D4198">
        <w:rPr>
          <w:rFonts w:ascii="Aptos" w:eastAsia="Calibri" w:hAnsi="Aptos" w:cs="Times New Roman"/>
          <w:b/>
          <w:bCs/>
        </w:rPr>
        <w:t>s’attaqu</w:t>
      </w:r>
      <w:r w:rsidR="00AE015D">
        <w:rPr>
          <w:rFonts w:ascii="Aptos" w:eastAsia="Calibri" w:hAnsi="Aptos" w:cs="Times New Roman"/>
          <w:b/>
          <w:bCs/>
        </w:rPr>
        <w:t xml:space="preserve">e </w:t>
      </w:r>
      <w:r w:rsidRPr="003D4198">
        <w:rPr>
          <w:rFonts w:ascii="Aptos" w:eastAsia="Calibri" w:hAnsi="Aptos" w:cs="Times New Roman"/>
          <w:b/>
          <w:bCs/>
        </w:rPr>
        <w:t>aux inefficacités systémiques qui compromettent l’allocation des ressources, la prise de décision fondée sur les données probantes et la participation des parties prenantes dans le secteur de l’éducation en Mauritanie.</w:t>
      </w:r>
      <w:r w:rsidRPr="00D401FA">
        <w:rPr>
          <w:rFonts w:ascii="Aptos" w:eastAsia="Calibri" w:hAnsi="Aptos" w:cs="Times New Roman"/>
        </w:rPr>
        <w:t xml:space="preserve"> Le Domaine de résultats 3 se concentre sur des </w:t>
      </w:r>
      <w:r w:rsidR="00AE015D">
        <w:rPr>
          <w:rFonts w:ascii="Aptos" w:eastAsia="Calibri" w:hAnsi="Aptos" w:cs="Times New Roman"/>
        </w:rPr>
        <w:t xml:space="preserve">éléments </w:t>
      </w:r>
      <w:r w:rsidRPr="00D401FA">
        <w:rPr>
          <w:rFonts w:ascii="Aptos" w:eastAsia="Calibri" w:hAnsi="Aptos" w:cs="Times New Roman"/>
        </w:rPr>
        <w:t>clés de gouvernance, essentiels à l’atteinte des résultats attendus au titre des Domaines de résultats 1 et 2, notamment le renforcement des systèmes de données, le développement des capacités institutionnelles, la mobilisation des communautés et le renforcement de la redevabilité des établissements dans la prestation d’un enseignement de qualité.</w:t>
      </w:r>
      <w:r w:rsidR="00403EEB" w:rsidRPr="00D401FA">
        <w:rPr>
          <w:rFonts w:ascii="Aptos" w:eastAsia="Calibri" w:hAnsi="Aptos" w:cs="Times New Roman"/>
        </w:rPr>
        <w:t xml:space="preserve"> </w:t>
      </w:r>
      <w:r w:rsidRPr="00D401FA">
        <w:rPr>
          <w:rFonts w:ascii="Aptos" w:eastAsia="Calibri" w:hAnsi="Aptos" w:cs="Times New Roman"/>
        </w:rPr>
        <w:t>La pleine opérationnalisation du SIRAGE</w:t>
      </w:r>
      <w:r w:rsidR="00403EEB" w:rsidRPr="00D401FA">
        <w:rPr>
          <w:rFonts w:ascii="Aptos" w:eastAsia="Calibri" w:hAnsi="Aptos" w:cs="Times New Roman"/>
        </w:rPr>
        <w:t xml:space="preserve"> est une intervention clé qui </w:t>
      </w:r>
      <w:r w:rsidRPr="00D401FA">
        <w:rPr>
          <w:rFonts w:ascii="Aptos" w:eastAsia="Calibri" w:hAnsi="Aptos" w:cs="Times New Roman"/>
        </w:rPr>
        <w:t xml:space="preserve"> permettra la collecte, le suivi et l’analyse de données en temps réel. Comme il couvrira des domaines tels que la scolarisation des élèves, le déploiement des enseignants, les infrastructures scolaires et les résultats d’apprentissage, le SIRAGE fournira des informations exploitables aux décideurs du secteur éducatif et garantira que les ressources et les interventions sont adaptées aux besoins </w:t>
      </w:r>
      <w:r w:rsidRPr="00D401FA">
        <w:rPr>
          <w:rFonts w:ascii="Aptos" w:eastAsia="Calibri" w:hAnsi="Aptos" w:cs="Times New Roman"/>
        </w:rPr>
        <w:lastRenderedPageBreak/>
        <w:t>locaux. Le Programme vise à rendre le SIRAGE pleinement opérationnel, en établissant une plateforme de données complète pour une planification et un suivi efficaces du secteur de l’éducation.</w:t>
      </w:r>
    </w:p>
    <w:p w14:paraId="290859E7" w14:textId="6B868916" w:rsidR="007056D7" w:rsidRPr="00D401FA" w:rsidRDefault="007056D7" w:rsidP="00216CAF">
      <w:pPr>
        <w:jc w:val="both"/>
        <w:rPr>
          <w:rFonts w:ascii="Aptos" w:eastAsia="Calibri" w:hAnsi="Aptos" w:cs="Times New Roman"/>
        </w:rPr>
      </w:pPr>
      <w:r w:rsidRPr="00D401FA">
        <w:rPr>
          <w:rFonts w:ascii="Aptos" w:eastAsia="Calibri" w:hAnsi="Aptos" w:cs="Times New Roman"/>
        </w:rPr>
        <w:t>Le renforcement des capacités institutionnelles est essentiel pour assurer une gouvernance efficace. De nombreux responsables éducatifs aux niveaux régional et local ne disposent pas actuellement des compétences et des outils nécessaires en matière de planification, de budgétisation et de suivi. Le Programme prévoit d’y remédier à travers des formations ciblées en gestion des données, planification stratégique et suivi et évaluation (S&amp;E).</w:t>
      </w:r>
      <w:r w:rsidR="00403EEB" w:rsidRPr="00D401FA">
        <w:rPr>
          <w:rFonts w:ascii="Aptos" w:eastAsia="Calibri" w:hAnsi="Aptos" w:cs="Times New Roman"/>
        </w:rPr>
        <w:t xml:space="preserve"> </w:t>
      </w:r>
      <w:r w:rsidRPr="00D401FA">
        <w:rPr>
          <w:rFonts w:ascii="Aptos" w:eastAsia="Calibri" w:hAnsi="Aptos" w:cs="Times New Roman"/>
        </w:rPr>
        <w:t xml:space="preserve">La mobilisation des communautés constitue un autre </w:t>
      </w:r>
      <w:r w:rsidR="00AE015D">
        <w:rPr>
          <w:rFonts w:ascii="Aptos" w:eastAsia="Calibri" w:hAnsi="Aptos" w:cs="Times New Roman"/>
        </w:rPr>
        <w:t xml:space="preserve">élément </w:t>
      </w:r>
      <w:r w:rsidRPr="00D401FA">
        <w:rPr>
          <w:rFonts w:ascii="Aptos" w:eastAsia="Calibri" w:hAnsi="Aptos" w:cs="Times New Roman"/>
        </w:rPr>
        <w:t xml:space="preserve">essentiel de ce domaine de résultats. Le Programme appuiera l’élargissement de la mise en place des Comités de gestion scolaire (COGES), composés de parents, d’enseignants et de représentants de la communauté, et chargés de superviser les performances des établissements, l’utilisation des ressources et de traiter les plaintes. En renforçant l’autonomie des parties prenantes, le Programme soutiendra des initiatives pilotées par les communautés accompagnant les plans d’amélioration des écoles </w:t>
      </w:r>
      <w:r w:rsidR="00AE015D">
        <w:rPr>
          <w:rFonts w:ascii="Aptos" w:eastAsia="Calibri" w:hAnsi="Aptos" w:cs="Times New Roman"/>
        </w:rPr>
        <w:t>e</w:t>
      </w:r>
      <w:r w:rsidRPr="00D401FA">
        <w:rPr>
          <w:rFonts w:ascii="Aptos" w:eastAsia="Calibri" w:hAnsi="Aptos" w:cs="Times New Roman"/>
        </w:rPr>
        <w:t>t leur mise en œuvre effective, favorisant ainsi une plus grande transparence et renforçant la confiance entre les communautés et les prestataires de services éducatifs.</w:t>
      </w:r>
    </w:p>
    <w:p w14:paraId="406DBB99" w14:textId="77777777" w:rsidR="007056D7" w:rsidRPr="00D401FA" w:rsidRDefault="007056D7" w:rsidP="00216CAF">
      <w:pPr>
        <w:jc w:val="both"/>
        <w:rPr>
          <w:rFonts w:ascii="Aptos" w:eastAsia="Calibri" w:hAnsi="Aptos" w:cs="Times New Roman"/>
        </w:rPr>
      </w:pPr>
      <w:r w:rsidRPr="003D4198">
        <w:rPr>
          <w:rFonts w:ascii="Aptos" w:eastAsia="Calibri" w:hAnsi="Aptos" w:cs="Times New Roman"/>
          <w:b/>
          <w:bCs/>
        </w:rPr>
        <w:t xml:space="preserve">Ces initiatives amélioreront la gouvernance du système éducatif mauritanien. </w:t>
      </w:r>
      <w:r w:rsidRPr="00AE015D">
        <w:rPr>
          <w:rFonts w:ascii="Aptos" w:eastAsia="Calibri" w:hAnsi="Aptos" w:cs="Times New Roman"/>
        </w:rPr>
        <w:t>Avec une meilleure gouvernance, les établissements deviendront plus réactifs aux besoins des élèves et des familles, assureront une allocation plus équitable des ressources et produiront des impacts durables</w:t>
      </w:r>
      <w:r w:rsidRPr="00D401FA">
        <w:rPr>
          <w:rFonts w:ascii="Aptos" w:eastAsia="Calibri" w:hAnsi="Aptos" w:cs="Times New Roman"/>
        </w:rPr>
        <w:t>. En accordant la priorité à la transparence, à la mobilisation des parties prenantes et à la prise de décision fondée sur les données, le Domaine de résultats 3 jette les bases d’un système éducatif plus efficace, inclusif et responsable, garantissant que les investissements d’IQRAA produisent des bénéfices durables pour les élèves, les enseignants et les communautés en Mauritanie.</w:t>
      </w:r>
    </w:p>
    <w:p w14:paraId="4CC2BDC3" w14:textId="47FD35E2" w:rsidR="007056D7" w:rsidRPr="00D401FA" w:rsidRDefault="007056D7" w:rsidP="00216CAF">
      <w:pPr>
        <w:jc w:val="both"/>
        <w:rPr>
          <w:rFonts w:ascii="Aptos" w:eastAsia="Calibri" w:hAnsi="Aptos" w:cs="Times New Roman"/>
        </w:rPr>
      </w:pPr>
      <w:r w:rsidRPr="003D4198">
        <w:rPr>
          <w:rFonts w:ascii="Aptos" w:eastAsia="Calibri" w:hAnsi="Aptos" w:cs="Times New Roman"/>
          <w:b/>
          <w:bCs/>
        </w:rPr>
        <w:t>En plus de ces trois domaines de résultats, le Programme sera complété par une assistance technique (AT) fournie dans le cadre d’une composante de financement en modalité projet (IPF).</w:t>
      </w:r>
      <w:r w:rsidRPr="00D401FA">
        <w:rPr>
          <w:rFonts w:ascii="Aptos" w:eastAsia="Calibri" w:hAnsi="Aptos" w:cs="Times New Roman"/>
        </w:rPr>
        <w:t xml:space="preserve"> Cette </w:t>
      </w:r>
      <w:r w:rsidR="00AE015D">
        <w:rPr>
          <w:rFonts w:ascii="Aptos" w:eastAsia="Calibri" w:hAnsi="Aptos" w:cs="Times New Roman"/>
        </w:rPr>
        <w:t xml:space="preserve">AT </w:t>
      </w:r>
      <w:r w:rsidRPr="00D401FA">
        <w:rPr>
          <w:rFonts w:ascii="Aptos" w:eastAsia="Calibri" w:hAnsi="Aptos" w:cs="Times New Roman"/>
        </w:rPr>
        <w:t xml:space="preserve"> garantira que les acteurs de la mise en œuvre disposent des capacités nécessaires pour exécuter, suivre et rendre compte efficacement du Programme proposé. Étant donné qu’il s’agit du premier financement en mode </w:t>
      </w:r>
      <w:proofErr w:type="spellStart"/>
      <w:r w:rsidRPr="00D401FA">
        <w:rPr>
          <w:rFonts w:ascii="Aptos" w:eastAsia="Calibri" w:hAnsi="Aptos" w:cs="Times New Roman"/>
        </w:rPr>
        <w:t>PforR</w:t>
      </w:r>
      <w:proofErr w:type="spellEnd"/>
      <w:r w:rsidRPr="00D401FA">
        <w:rPr>
          <w:rFonts w:ascii="Aptos" w:eastAsia="Calibri" w:hAnsi="Aptos" w:cs="Times New Roman"/>
        </w:rPr>
        <w:t xml:space="preserve"> dans le secteur de l’éducation en Mauritanie, l’</w:t>
      </w:r>
      <w:r w:rsidR="00AE015D">
        <w:rPr>
          <w:rFonts w:ascii="Aptos" w:eastAsia="Calibri" w:hAnsi="Aptos" w:cs="Times New Roman"/>
        </w:rPr>
        <w:t>AT</w:t>
      </w:r>
      <w:r w:rsidRPr="00D401FA">
        <w:rPr>
          <w:rFonts w:ascii="Aptos" w:eastAsia="Calibri" w:hAnsi="Aptos" w:cs="Times New Roman"/>
        </w:rPr>
        <w:t xml:space="preserve"> mettra l’accent sur une bonne maîtrise de cette approche axée sur les résultats par les acteurs et parties prenantes concernés.</w:t>
      </w:r>
    </w:p>
    <w:p w14:paraId="7A650EEC" w14:textId="0AF77574" w:rsidR="00403EEB" w:rsidRPr="00D401FA" w:rsidRDefault="00403EEB" w:rsidP="003D4198">
      <w:pPr>
        <w:pStyle w:val="Heading3"/>
      </w:pPr>
      <w:bookmarkStart w:id="28" w:name="_Toc227686304"/>
      <w:bookmarkStart w:id="29" w:name="_Toc227686350"/>
      <w:r w:rsidRPr="00D401FA">
        <w:t>Bénéficiaires du Programme</w:t>
      </w:r>
      <w:bookmarkEnd w:id="28"/>
      <w:bookmarkEnd w:id="29"/>
    </w:p>
    <w:p w14:paraId="48668B52" w14:textId="3605F39B" w:rsidR="00403EEB" w:rsidRPr="00D401FA" w:rsidRDefault="00403EEB" w:rsidP="00216CAF">
      <w:pPr>
        <w:jc w:val="both"/>
        <w:rPr>
          <w:rFonts w:ascii="Aptos" w:eastAsia="Calibri" w:hAnsi="Aptos" w:cs="Times New Roman"/>
        </w:rPr>
      </w:pPr>
      <w:r w:rsidRPr="003D4198">
        <w:rPr>
          <w:rFonts w:ascii="Aptos" w:eastAsia="Calibri" w:hAnsi="Aptos" w:cs="Times New Roman"/>
          <w:b/>
          <w:bCs/>
        </w:rPr>
        <w:t>Le Programme est conçu pour améliorer les résultats éducatifs à différents niveaux, bénéficiant à divers groupes d’apprenants, y compris les réfugiés et les communautés d’accueil</w:t>
      </w:r>
      <w:r w:rsidRPr="00D401FA">
        <w:rPr>
          <w:rFonts w:ascii="Aptos" w:eastAsia="Calibri" w:hAnsi="Aptos" w:cs="Times New Roman"/>
        </w:rPr>
        <w:t xml:space="preserve">. Au niveau préscolaire, il cible environ 100 000 enfants âgés de cinq ans, en leur offrant une année d’éducation préscolaire afin d’établir des bases éducatives solides.  Au niveau primaire, le Programme devrait avoir un impact sur environ </w:t>
      </w:r>
      <w:r w:rsidR="00DE423E">
        <w:rPr>
          <w:rFonts w:ascii="Aptos" w:eastAsia="Calibri" w:hAnsi="Aptos" w:cs="Times New Roman"/>
        </w:rPr>
        <w:t>800 000</w:t>
      </w:r>
      <w:r w:rsidRPr="00D401FA">
        <w:rPr>
          <w:rFonts w:ascii="Aptos" w:eastAsia="Calibri" w:hAnsi="Aptos" w:cs="Times New Roman"/>
        </w:rPr>
        <w:t xml:space="preserve"> élèves en améliorant la qualité de la prestation des services éducatifs et en facilitant une meilleure transition vers l’enseignement secondaire. Dans les zones d’accueil de réfugiés, le Programme bénéficiera également à environ </w:t>
      </w:r>
      <w:r w:rsidR="00FC5D16">
        <w:rPr>
          <w:rFonts w:ascii="Aptos" w:eastAsia="Calibri" w:hAnsi="Aptos" w:cs="Times New Roman"/>
        </w:rPr>
        <w:t>50 000</w:t>
      </w:r>
      <w:r w:rsidRPr="00D401FA">
        <w:rPr>
          <w:rFonts w:ascii="Aptos" w:eastAsia="Calibri" w:hAnsi="Aptos" w:cs="Times New Roman"/>
        </w:rPr>
        <w:t xml:space="preserve"> enfants réfugiés à travers un meilleur accès et une transition facilitée vers le système éducatif national, ainsi qu’à environ </w:t>
      </w:r>
      <w:r w:rsidR="00023119">
        <w:rPr>
          <w:rFonts w:ascii="Aptos" w:eastAsia="Calibri" w:hAnsi="Aptos" w:cs="Times New Roman"/>
        </w:rPr>
        <w:t>385 000</w:t>
      </w:r>
      <w:r w:rsidRPr="00D401FA">
        <w:rPr>
          <w:rFonts w:ascii="Aptos" w:eastAsia="Calibri" w:hAnsi="Aptos" w:cs="Times New Roman"/>
        </w:rPr>
        <w:t xml:space="preserve"> enfants des communautés d’accueil grâce au renforcement de la prestation des services éducatifs dans les mêmes établissements et localités. Au niveau secondaire, le Programme devrait bénéficier à environ </w:t>
      </w:r>
      <w:r w:rsidR="00C135F3">
        <w:rPr>
          <w:rFonts w:ascii="Aptos" w:eastAsia="Calibri" w:hAnsi="Aptos" w:cs="Times New Roman"/>
        </w:rPr>
        <w:t>450 000</w:t>
      </w:r>
      <w:r w:rsidRPr="00D401FA">
        <w:rPr>
          <w:rFonts w:ascii="Aptos" w:eastAsia="Calibri" w:hAnsi="Aptos" w:cs="Times New Roman"/>
        </w:rPr>
        <w:t xml:space="preserve"> élèves, dont 30 000 filles qui recevront un appui pédagogique</w:t>
      </w:r>
      <w:r w:rsidR="00AE015D">
        <w:rPr>
          <w:rFonts w:ascii="Aptos" w:eastAsia="Calibri" w:hAnsi="Aptos" w:cs="Times New Roman"/>
        </w:rPr>
        <w:t xml:space="preserve"> et</w:t>
      </w:r>
      <w:r w:rsidRPr="00D401FA">
        <w:rPr>
          <w:rFonts w:ascii="Aptos" w:eastAsia="Calibri" w:hAnsi="Aptos" w:cs="Times New Roman"/>
        </w:rPr>
        <w:t xml:space="preserve"> des incitations financières et bénéficieront </w:t>
      </w:r>
      <w:r w:rsidRPr="00D401FA">
        <w:rPr>
          <w:rFonts w:ascii="Aptos" w:eastAsia="Calibri" w:hAnsi="Aptos" w:cs="Times New Roman"/>
        </w:rPr>
        <w:lastRenderedPageBreak/>
        <w:t>d’infrastructures sensibles au genre afin de promouvoir leur inclusion et de soutenir leur maintien dans le système éducatif. En outre, plus de 40 000 élèves bénéficier</w:t>
      </w:r>
      <w:r w:rsidR="00AE015D">
        <w:rPr>
          <w:rFonts w:ascii="Aptos" w:eastAsia="Calibri" w:hAnsi="Aptos" w:cs="Times New Roman"/>
        </w:rPr>
        <w:t>ont</w:t>
      </w:r>
      <w:r w:rsidRPr="00D401FA">
        <w:rPr>
          <w:rFonts w:ascii="Aptos" w:eastAsia="Calibri" w:hAnsi="Aptos" w:cs="Times New Roman"/>
        </w:rPr>
        <w:t xml:space="preserve"> d’infrastructures scolaires améliorées et accessibles aux niveaux du premier et du second cycle du secondaire. Dans l’ensemble, le Programme vise à promouvoir un environnement éducatif inclusif et équitable, répondant aux besoins diversifiés de l’ensemble des bénéficiaires.</w:t>
      </w:r>
    </w:p>
    <w:p w14:paraId="73AE68B9" w14:textId="08CCC2BE" w:rsidR="00403EEB" w:rsidRPr="00D401FA" w:rsidRDefault="00403EEB" w:rsidP="00216CAF">
      <w:pPr>
        <w:jc w:val="both"/>
        <w:rPr>
          <w:rFonts w:ascii="Aptos" w:eastAsia="Calibri" w:hAnsi="Aptos" w:cs="Times New Roman"/>
        </w:rPr>
      </w:pPr>
      <w:r w:rsidRPr="003D4198">
        <w:rPr>
          <w:rFonts w:ascii="Aptos" w:eastAsia="Calibri" w:hAnsi="Aptos" w:cs="Times New Roman"/>
          <w:b/>
          <w:bCs/>
        </w:rPr>
        <w:t xml:space="preserve">Le Programme est conçu pour renforcer l’efficacité des enseignants à tous les niveaux d’enseignement </w:t>
      </w:r>
      <w:r w:rsidR="00D955F6">
        <w:rPr>
          <w:rFonts w:ascii="Aptos" w:eastAsia="Calibri" w:hAnsi="Aptos" w:cs="Times New Roman"/>
          <w:b/>
          <w:bCs/>
        </w:rPr>
        <w:t>-</w:t>
      </w:r>
      <w:r w:rsidRPr="003D4198">
        <w:rPr>
          <w:rFonts w:ascii="Aptos" w:eastAsia="Calibri" w:hAnsi="Aptos" w:cs="Times New Roman"/>
          <w:b/>
          <w:bCs/>
        </w:rPr>
        <w:t xml:space="preserve"> préscolaire, primaire et secondaire </w:t>
      </w:r>
      <w:r w:rsidR="00D955F6">
        <w:rPr>
          <w:rFonts w:ascii="Aptos" w:eastAsia="Calibri" w:hAnsi="Aptos" w:cs="Times New Roman"/>
          <w:b/>
          <w:bCs/>
        </w:rPr>
        <w:t>-</w:t>
      </w:r>
      <w:r w:rsidRPr="003D4198">
        <w:rPr>
          <w:rFonts w:ascii="Aptos" w:eastAsia="Calibri" w:hAnsi="Aptos" w:cs="Times New Roman"/>
          <w:b/>
          <w:bCs/>
        </w:rPr>
        <w:t xml:space="preserve"> en leur apportant un appui renforcé. </w:t>
      </w:r>
      <w:r w:rsidRPr="00AE015D">
        <w:rPr>
          <w:rFonts w:ascii="Aptos" w:eastAsia="Calibri" w:hAnsi="Aptos" w:cs="Times New Roman"/>
        </w:rPr>
        <w:t>Il dotera les enseignants des outils et des ressources nécessaires pour améliorer la qualité de l’enseignement et les résultats des élèves.</w:t>
      </w:r>
      <w:r w:rsidRPr="00D401FA">
        <w:rPr>
          <w:rFonts w:ascii="Aptos" w:eastAsia="Calibri" w:hAnsi="Aptos" w:cs="Times New Roman"/>
        </w:rPr>
        <w:t xml:space="preserve"> Ces mesures renforceront également les capacités des enseignants et des acteurs scolaires intervenant dans les zones d’accueil de réfugiés </w:t>
      </w:r>
      <w:r w:rsidR="00AE015D">
        <w:rPr>
          <w:rFonts w:ascii="Aptos" w:eastAsia="Calibri" w:hAnsi="Aptos" w:cs="Times New Roman"/>
        </w:rPr>
        <w:t>à</w:t>
      </w:r>
      <w:r w:rsidRPr="00D401FA">
        <w:rPr>
          <w:rFonts w:ascii="Aptos" w:eastAsia="Calibri" w:hAnsi="Aptos" w:cs="Times New Roman"/>
        </w:rPr>
        <w:t xml:space="preserve"> répondre aux besoins des enfants réfugiés et des enfants des communautés d’accueil. En outre, le Programme vise à renforcer la gouvernance du secteur éducatif, au bénéfice de l’ensemble des parties prenantes, en optimisant le rapport coût-efficacité des dépenses éducatives. Il met l’accent sur l’importance de données de qualité pour éclairer la prise de décision fondée sur les données probantes et favorise la participation des communautés dans l’éducation, veillant à ce que les parties prenantes </w:t>
      </w:r>
      <w:r w:rsidR="00AE015D">
        <w:rPr>
          <w:rFonts w:ascii="Aptos" w:eastAsia="Calibri" w:hAnsi="Aptos" w:cs="Times New Roman"/>
        </w:rPr>
        <w:t xml:space="preserve">puissent activement contribuer à façonner les </w:t>
      </w:r>
      <w:r w:rsidRPr="00D401FA">
        <w:rPr>
          <w:rFonts w:ascii="Aptos" w:eastAsia="Calibri" w:hAnsi="Aptos" w:cs="Times New Roman"/>
        </w:rPr>
        <w:t xml:space="preserve">politiques et </w:t>
      </w:r>
      <w:r w:rsidR="00AE015D">
        <w:rPr>
          <w:rFonts w:ascii="Aptos" w:eastAsia="Calibri" w:hAnsi="Aptos" w:cs="Times New Roman"/>
        </w:rPr>
        <w:t>l</w:t>
      </w:r>
      <w:r w:rsidRPr="00D401FA">
        <w:rPr>
          <w:rFonts w:ascii="Aptos" w:eastAsia="Calibri" w:hAnsi="Aptos" w:cs="Times New Roman"/>
        </w:rPr>
        <w:t>es pratiques éducatives. Dans l’ensemble, le Programme vise à mettre en place un système éducatif plus efficace, transparent et participatif, au service des enseignants et de l’ensemble de la communauté.</w:t>
      </w:r>
    </w:p>
    <w:p w14:paraId="78BF887E" w14:textId="31F6912F" w:rsidR="00511A08" w:rsidRPr="00D401FA" w:rsidRDefault="00511A08" w:rsidP="003D4198">
      <w:pPr>
        <w:pStyle w:val="Heading3"/>
      </w:pPr>
      <w:bookmarkStart w:id="30" w:name="_Toc227686305"/>
      <w:bookmarkStart w:id="31" w:name="_Toc227686351"/>
      <w:r w:rsidRPr="00D401FA">
        <w:t>Cadre de dépenses du Programme</w:t>
      </w:r>
      <w:bookmarkEnd w:id="30"/>
      <w:bookmarkEnd w:id="31"/>
    </w:p>
    <w:p w14:paraId="66E42F60" w14:textId="77777777" w:rsidR="00511A08" w:rsidRPr="00D401FA" w:rsidRDefault="00511A08" w:rsidP="00216CAF">
      <w:pPr>
        <w:jc w:val="both"/>
        <w:rPr>
          <w:rFonts w:ascii="Aptos" w:eastAsia="Calibri" w:hAnsi="Aptos" w:cs="Times New Roman"/>
        </w:rPr>
      </w:pPr>
      <w:r w:rsidRPr="00D401FA">
        <w:rPr>
          <w:rFonts w:ascii="Aptos" w:eastAsia="Calibri" w:hAnsi="Aptos" w:cs="Times New Roman"/>
        </w:rPr>
        <w:t xml:space="preserve">Le programme gouvernemental (PPSA) dispose d’un budget d’investissement de 5 770 millions MRU (soit environ 145 millions USD) pour les cinq prochaines années. Le </w:t>
      </w:r>
      <w:proofErr w:type="spellStart"/>
      <w:r w:rsidRPr="00D401FA">
        <w:rPr>
          <w:rFonts w:ascii="Aptos" w:eastAsia="Calibri" w:hAnsi="Aptos" w:cs="Times New Roman"/>
        </w:rPr>
        <w:t>PforR</w:t>
      </w:r>
      <w:proofErr w:type="spellEnd"/>
      <w:r w:rsidRPr="00D401FA">
        <w:rPr>
          <w:rFonts w:ascii="Aptos" w:eastAsia="Calibri" w:hAnsi="Aptos" w:cs="Times New Roman"/>
        </w:rPr>
        <w:t xml:space="preserve"> appuiera des résultats spécifiques mis en œuvre à travers trois domaines de résultats couvrant certaines interventions sélectionnées parmi les cinq composantes du PPSA, comme présenté dans le tableau 1 ci-dessus. Les dépenses prévues par le Gouvernement pour cette période au titre des domaines de résultats soutenus par le </w:t>
      </w:r>
      <w:proofErr w:type="spellStart"/>
      <w:r w:rsidRPr="00D401FA">
        <w:rPr>
          <w:rFonts w:ascii="Aptos" w:eastAsia="Calibri" w:hAnsi="Aptos" w:cs="Times New Roman"/>
        </w:rPr>
        <w:t>PforR</w:t>
      </w:r>
      <w:proofErr w:type="spellEnd"/>
      <w:r w:rsidRPr="00D401FA">
        <w:rPr>
          <w:rFonts w:ascii="Aptos" w:eastAsia="Calibri" w:hAnsi="Aptos" w:cs="Times New Roman"/>
        </w:rPr>
        <w:t xml:space="preserve"> s’élèvent à 70 millions USD, dont l’équivalent de 51,75 millions USD sera financé par la Banque mondiale (35 millions USD au titre de l’IDA, dont 25 millions USD issus du WHR, et 16,75 millions USD au titre du GPE). En outre, le GPE contribuera à couvrir les coûts de supervision de l’opération. Ces dépenses s’inscriront dans le cadre budgétaire pluriannuel national, conformément au Cadre de dépenses du Programme (CDP). Les lignes budgétaires du Programme ont été identifiées à l’issue d’analyses approfondies et de concertations avec les ministères sectoriels bénéficiaires et le Ministère de l’Économie et des Finances. Un suivi annuel de l’utilisation des fonds sera assuré afin de garantir que les besoins des entités d’exécution sont satisfaits. Le tableau 2 présente une synthèse du CDP du Programme par lignes budgétaires des entités d’exécution du </w:t>
      </w:r>
      <w:proofErr w:type="spellStart"/>
      <w:r w:rsidRPr="00D401FA">
        <w:rPr>
          <w:rFonts w:ascii="Aptos" w:eastAsia="Calibri" w:hAnsi="Aptos" w:cs="Times New Roman"/>
        </w:rPr>
        <w:t>PforR</w:t>
      </w:r>
      <w:proofErr w:type="spellEnd"/>
      <w:r w:rsidRPr="00D401FA">
        <w:rPr>
          <w:rFonts w:ascii="Aptos" w:eastAsia="Calibri" w:hAnsi="Aptos" w:cs="Times New Roman"/>
        </w:rPr>
        <w:t xml:space="preserve"> : (i) le Ministère de l’Éducation et de la Réforme du système éducatif ; et (ii) le Ministère de l’Action sociale, de l’Enfance et de la Famille. Le CDP repose sur des budgets et des plans de travail au niveau des départements, élaborés pour mettre en œuvre les interventions essentielles du Programme et réaliser les cibles des indicateurs liés aux décaissements (ILD) ainsi que les résultats globaux du Programme. Le CDP assurera un équilibre entre les biens et services, le renforcement des capacités et les coûts récurrents. Le CDP comprend : (i) des activités de renforcement des capacités et de conseil ; (ii) des biens, services et équipements ; et (iii) les dépenses administratives et de fonctionnement des entités d’exécution. Le Programme ne comprend aucune activité susceptible d’avoir un impact négatif significatif sur l’environnement et/ou sur les populations affectées, conformément à la Politique et à la Directive de la Banque mondiale relatives au financement </w:t>
      </w:r>
      <w:proofErr w:type="spellStart"/>
      <w:r w:rsidRPr="00D401FA">
        <w:rPr>
          <w:rFonts w:ascii="Aptos" w:eastAsia="Calibri" w:hAnsi="Aptos" w:cs="Times New Roman"/>
        </w:rPr>
        <w:t>PforR</w:t>
      </w:r>
      <w:proofErr w:type="spellEnd"/>
      <w:r w:rsidRPr="00D401FA">
        <w:rPr>
          <w:rFonts w:ascii="Aptos" w:eastAsia="Calibri" w:hAnsi="Aptos" w:cs="Times New Roman"/>
        </w:rPr>
        <w:t xml:space="preserve">. Il ne </w:t>
      </w:r>
      <w:r w:rsidRPr="00D401FA">
        <w:rPr>
          <w:rFonts w:ascii="Aptos" w:eastAsia="Calibri" w:hAnsi="Aptos" w:cs="Times New Roman"/>
        </w:rPr>
        <w:lastRenderedPageBreak/>
        <w:t>comprend pas non plus de travaux, de biens ou de contrats de conseil dépassant les seuils à partir desquels l’intervention du Comité d’examen de la passation des marchés des opérations est requise. Dans le cadre de l’appui à la mise en œuvre, la Banque mondiale procédera à une analyse systématique des activités afin de garantir qu’aucune activité à haut risque n’est incluse dans le Programme.</w:t>
      </w:r>
    </w:p>
    <w:p w14:paraId="0F371323" w14:textId="77777777" w:rsidR="005C2441" w:rsidRDefault="005C2441">
      <w:pPr>
        <w:rPr>
          <w:rFonts w:ascii="Aptos" w:eastAsia="Calibri" w:hAnsi="Aptos" w:cs="Times New Roman"/>
        </w:rPr>
      </w:pPr>
      <w:r>
        <w:rPr>
          <w:rFonts w:ascii="Aptos" w:eastAsia="Calibri" w:hAnsi="Aptos" w:cs="Times New Roman"/>
        </w:rPr>
        <w:br w:type="page"/>
      </w:r>
    </w:p>
    <w:p w14:paraId="5AFA5B67" w14:textId="11C00972" w:rsidR="00511A08" w:rsidRDefault="00511A08" w:rsidP="001649BC">
      <w:pPr>
        <w:rPr>
          <w:rFonts w:ascii="Aptos" w:eastAsia="Calibri" w:hAnsi="Aptos" w:cs="Times New Roman"/>
          <w:b/>
          <w:bCs/>
        </w:rPr>
      </w:pPr>
      <w:r w:rsidRPr="005C2441">
        <w:rPr>
          <w:rFonts w:ascii="Aptos" w:eastAsia="Calibri" w:hAnsi="Aptos" w:cs="Times New Roman"/>
          <w:b/>
          <w:bCs/>
        </w:rPr>
        <w:lastRenderedPageBreak/>
        <w:t>Tableau 2 : Cadre de dépenses du Programme (CDP, 2026-2030)</w:t>
      </w:r>
    </w:p>
    <w:p w14:paraId="5D4C3FBE" w14:textId="7686D0A9" w:rsidR="004B7D67" w:rsidRDefault="004B7D67" w:rsidP="00FC64C5">
      <w:pPr>
        <w:pStyle w:val="Heading3"/>
        <w:numPr>
          <w:ilvl w:val="0"/>
          <w:numId w:val="0"/>
        </w:numPr>
      </w:pPr>
      <w:bookmarkStart w:id="32" w:name="_Toc227686306"/>
      <w:bookmarkStart w:id="33" w:name="_Toc227686352"/>
    </w:p>
    <w:tbl>
      <w:tblPr>
        <w:tblStyle w:val="TableGrid"/>
        <w:tblW w:w="0" w:type="auto"/>
        <w:tblLayout w:type="fixed"/>
        <w:tblLook w:val="04A0" w:firstRow="1" w:lastRow="0" w:firstColumn="1" w:lastColumn="0" w:noHBand="0" w:noVBand="1"/>
      </w:tblPr>
      <w:tblGrid>
        <w:gridCol w:w="838"/>
        <w:gridCol w:w="782"/>
        <w:gridCol w:w="767"/>
        <w:gridCol w:w="1631"/>
        <w:gridCol w:w="655"/>
        <w:gridCol w:w="744"/>
        <w:gridCol w:w="672"/>
        <w:gridCol w:w="865"/>
        <w:gridCol w:w="1124"/>
        <w:gridCol w:w="801"/>
        <w:gridCol w:w="595"/>
        <w:gridCol w:w="708"/>
        <w:gridCol w:w="608"/>
      </w:tblGrid>
      <w:tr w:rsidR="00FC64C5" w:rsidRPr="008A401B" w14:paraId="5ABD1DD4" w14:textId="77777777" w:rsidTr="00F3373E">
        <w:tc>
          <w:tcPr>
            <w:tcW w:w="10790" w:type="dxa"/>
            <w:gridSpan w:val="13"/>
            <w:shd w:val="clear" w:color="auto" w:fill="1F4E79"/>
            <w:tcMar>
              <w:left w:w="28" w:type="dxa"/>
              <w:right w:w="28" w:type="dxa"/>
            </w:tcMar>
          </w:tcPr>
          <w:p w14:paraId="2FB2002A" w14:textId="77777777" w:rsidR="00FC64C5" w:rsidRPr="008A401B" w:rsidRDefault="00FC64C5" w:rsidP="00F3373E">
            <w:pPr>
              <w:jc w:val="center"/>
              <w:rPr>
                <w:rFonts w:ascii="Calibri" w:eastAsia="Calibri" w:hAnsi="Calibri" w:cs="Times New Roman"/>
                <w:b/>
                <w:bCs/>
                <w:sz w:val="16"/>
                <w:szCs w:val="16"/>
              </w:rPr>
            </w:pPr>
            <w:r w:rsidRPr="008A401B">
              <w:rPr>
                <w:rFonts w:ascii="Calibri" w:eastAsia="Calibri" w:hAnsi="Calibri" w:cs="Times New Roman"/>
                <w:b/>
                <w:bCs/>
                <w:color w:val="FFFFFF"/>
                <w:sz w:val="16"/>
                <w:szCs w:val="16"/>
              </w:rPr>
              <w:t>Les numéros de programme suivent la nomenclature budgétaire mauritanienne (système RACHAD) par programme et action. Catégories de dépenses : P1 = Salaires | P2 = Biens et services | P4 = Transferts et subventions | P6 = Investissements en capital | P7 = Autres dépenses – Tous les montants sont exprimés en milliers de dollars US.</w:t>
            </w:r>
          </w:p>
        </w:tc>
      </w:tr>
      <w:tr w:rsidR="00FC64C5" w:rsidRPr="008A401B" w14:paraId="29D1837F" w14:textId="77777777" w:rsidTr="00F3373E">
        <w:tc>
          <w:tcPr>
            <w:tcW w:w="838" w:type="dxa"/>
            <w:vMerge w:val="restart"/>
            <w:shd w:val="clear" w:color="auto" w:fill="9FB7E1"/>
            <w:tcMar>
              <w:left w:w="28" w:type="dxa"/>
              <w:right w:w="28" w:type="dxa"/>
            </w:tcMar>
            <w:vAlign w:val="center"/>
          </w:tcPr>
          <w:p w14:paraId="242E2E4D"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Code programme budgétaire</w:t>
            </w:r>
          </w:p>
        </w:tc>
        <w:tc>
          <w:tcPr>
            <w:tcW w:w="782" w:type="dxa"/>
            <w:vMerge w:val="restart"/>
            <w:shd w:val="clear" w:color="auto" w:fill="9FB7E1"/>
            <w:tcMar>
              <w:left w:w="28" w:type="dxa"/>
              <w:right w:w="28" w:type="dxa"/>
            </w:tcMar>
            <w:vAlign w:val="center"/>
          </w:tcPr>
          <w:p w14:paraId="1AB3031C"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Code action budgétaire</w:t>
            </w:r>
          </w:p>
        </w:tc>
        <w:tc>
          <w:tcPr>
            <w:tcW w:w="767" w:type="dxa"/>
            <w:vMerge w:val="restart"/>
            <w:shd w:val="clear" w:color="auto" w:fill="9FB7E1"/>
            <w:tcMar>
              <w:left w:w="28" w:type="dxa"/>
              <w:right w:w="28" w:type="dxa"/>
            </w:tcMar>
            <w:vAlign w:val="center"/>
          </w:tcPr>
          <w:p w14:paraId="608B196B"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Entité</w:t>
            </w:r>
          </w:p>
        </w:tc>
        <w:tc>
          <w:tcPr>
            <w:tcW w:w="1631" w:type="dxa"/>
            <w:vMerge w:val="restart"/>
            <w:shd w:val="clear" w:color="auto" w:fill="9FB7E1"/>
            <w:tcMar>
              <w:left w:w="28" w:type="dxa"/>
              <w:right w:w="28" w:type="dxa"/>
            </w:tcMar>
            <w:vAlign w:val="center"/>
          </w:tcPr>
          <w:p w14:paraId="535B0C51"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Description</w:t>
            </w:r>
          </w:p>
        </w:tc>
        <w:tc>
          <w:tcPr>
            <w:tcW w:w="655" w:type="dxa"/>
            <w:vMerge w:val="restart"/>
            <w:shd w:val="clear" w:color="auto" w:fill="9FB7E1"/>
            <w:tcMar>
              <w:left w:w="28" w:type="dxa"/>
              <w:right w:w="28" w:type="dxa"/>
            </w:tcMar>
            <w:vAlign w:val="center"/>
          </w:tcPr>
          <w:p w14:paraId="66F44F39"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ILD</w:t>
            </w:r>
          </w:p>
        </w:tc>
        <w:tc>
          <w:tcPr>
            <w:tcW w:w="4206" w:type="dxa"/>
            <w:gridSpan w:val="5"/>
            <w:shd w:val="clear" w:color="auto" w:fill="2E74B5"/>
            <w:tcMar>
              <w:left w:w="28" w:type="dxa"/>
              <w:right w:w="28" w:type="dxa"/>
            </w:tcMar>
          </w:tcPr>
          <w:p w14:paraId="459028B4" w14:textId="77777777" w:rsidR="00FC64C5" w:rsidRPr="008A401B" w:rsidRDefault="00FC64C5" w:rsidP="00F3373E">
            <w:pPr>
              <w:jc w:val="center"/>
              <w:rPr>
                <w:rFonts w:ascii="Calibri" w:eastAsia="Calibri" w:hAnsi="Calibri" w:cs="Times New Roman"/>
                <w:b/>
                <w:bCs/>
                <w:sz w:val="16"/>
                <w:szCs w:val="16"/>
              </w:rPr>
            </w:pPr>
            <w:r w:rsidRPr="008A401B">
              <w:rPr>
                <w:rFonts w:ascii="Calibri" w:eastAsia="Calibri" w:hAnsi="Calibri" w:cs="Times New Roman"/>
                <w:b/>
                <w:bCs/>
                <w:color w:val="FFFFFF"/>
                <w:sz w:val="16"/>
                <w:szCs w:val="16"/>
              </w:rPr>
              <w:t>Dépenses du PPSSA par catégorie (milliers USD)</w:t>
            </w:r>
          </w:p>
        </w:tc>
        <w:tc>
          <w:tcPr>
            <w:tcW w:w="595" w:type="dxa"/>
            <w:vMerge w:val="restart"/>
            <w:shd w:val="clear" w:color="auto" w:fill="9FB7E1"/>
            <w:tcMar>
              <w:left w:w="28" w:type="dxa"/>
              <w:right w:w="28" w:type="dxa"/>
            </w:tcMar>
            <w:vAlign w:val="center"/>
          </w:tcPr>
          <w:p w14:paraId="467669EA"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Total PPSA 2026–2030</w:t>
            </w:r>
          </w:p>
        </w:tc>
        <w:tc>
          <w:tcPr>
            <w:tcW w:w="708" w:type="dxa"/>
            <w:vMerge w:val="restart"/>
            <w:shd w:val="clear" w:color="auto" w:fill="9FB7E1"/>
            <w:tcMar>
              <w:left w:w="28" w:type="dxa"/>
              <w:right w:w="28" w:type="dxa"/>
            </w:tcMar>
            <w:vAlign w:val="center"/>
          </w:tcPr>
          <w:p w14:paraId="47CA1EC2"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Montants ILD</w:t>
            </w:r>
          </w:p>
        </w:tc>
        <w:tc>
          <w:tcPr>
            <w:tcW w:w="608" w:type="dxa"/>
            <w:vMerge w:val="restart"/>
            <w:shd w:val="clear" w:color="auto" w:fill="9FB7E1"/>
            <w:tcMar>
              <w:left w:w="28" w:type="dxa"/>
              <w:right w:w="28" w:type="dxa"/>
            </w:tcMar>
            <w:vAlign w:val="center"/>
          </w:tcPr>
          <w:p w14:paraId="300ACFC5"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 ILD du PPSA</w:t>
            </w:r>
          </w:p>
        </w:tc>
      </w:tr>
      <w:tr w:rsidR="00FC64C5" w:rsidRPr="008A401B" w14:paraId="17805707" w14:textId="77777777" w:rsidTr="00F3373E">
        <w:tc>
          <w:tcPr>
            <w:tcW w:w="838" w:type="dxa"/>
            <w:vMerge/>
            <w:tcMar>
              <w:left w:w="28" w:type="dxa"/>
              <w:right w:w="28" w:type="dxa"/>
            </w:tcMar>
          </w:tcPr>
          <w:p w14:paraId="65AE6B30" w14:textId="77777777" w:rsidR="00FC64C5" w:rsidRPr="008A401B" w:rsidRDefault="00FC64C5" w:rsidP="00F3373E">
            <w:pPr>
              <w:jc w:val="both"/>
              <w:rPr>
                <w:rFonts w:ascii="Calibri" w:eastAsia="Calibri" w:hAnsi="Calibri" w:cs="Times New Roman"/>
                <w:sz w:val="16"/>
                <w:szCs w:val="16"/>
              </w:rPr>
            </w:pPr>
          </w:p>
        </w:tc>
        <w:tc>
          <w:tcPr>
            <w:tcW w:w="782" w:type="dxa"/>
            <w:vMerge/>
            <w:tcMar>
              <w:left w:w="28" w:type="dxa"/>
              <w:right w:w="28" w:type="dxa"/>
            </w:tcMar>
          </w:tcPr>
          <w:p w14:paraId="6F52F849" w14:textId="77777777" w:rsidR="00FC64C5" w:rsidRPr="008A401B" w:rsidRDefault="00FC64C5" w:rsidP="00F3373E">
            <w:pPr>
              <w:jc w:val="both"/>
              <w:rPr>
                <w:rFonts w:ascii="Calibri" w:eastAsia="Calibri" w:hAnsi="Calibri" w:cs="Times New Roman"/>
                <w:sz w:val="16"/>
                <w:szCs w:val="16"/>
              </w:rPr>
            </w:pPr>
          </w:p>
        </w:tc>
        <w:tc>
          <w:tcPr>
            <w:tcW w:w="767" w:type="dxa"/>
            <w:vMerge/>
            <w:tcMar>
              <w:left w:w="28" w:type="dxa"/>
              <w:right w:w="28" w:type="dxa"/>
            </w:tcMar>
          </w:tcPr>
          <w:p w14:paraId="5D0BFF48" w14:textId="77777777" w:rsidR="00FC64C5" w:rsidRPr="008A401B" w:rsidRDefault="00FC64C5" w:rsidP="00F3373E">
            <w:pPr>
              <w:jc w:val="both"/>
              <w:rPr>
                <w:rFonts w:ascii="Calibri" w:eastAsia="Calibri" w:hAnsi="Calibri" w:cs="Times New Roman"/>
                <w:sz w:val="16"/>
                <w:szCs w:val="16"/>
              </w:rPr>
            </w:pPr>
          </w:p>
        </w:tc>
        <w:tc>
          <w:tcPr>
            <w:tcW w:w="1631" w:type="dxa"/>
            <w:vMerge/>
            <w:tcMar>
              <w:left w:w="28" w:type="dxa"/>
              <w:right w:w="28" w:type="dxa"/>
            </w:tcMar>
          </w:tcPr>
          <w:p w14:paraId="304D4340" w14:textId="77777777" w:rsidR="00FC64C5" w:rsidRPr="008A401B" w:rsidRDefault="00FC64C5" w:rsidP="00F3373E">
            <w:pPr>
              <w:jc w:val="both"/>
              <w:rPr>
                <w:rFonts w:ascii="Calibri" w:eastAsia="Calibri" w:hAnsi="Calibri" w:cs="Times New Roman"/>
                <w:sz w:val="16"/>
                <w:szCs w:val="16"/>
              </w:rPr>
            </w:pPr>
          </w:p>
        </w:tc>
        <w:tc>
          <w:tcPr>
            <w:tcW w:w="655" w:type="dxa"/>
            <w:vMerge/>
            <w:tcMar>
              <w:left w:w="28" w:type="dxa"/>
              <w:right w:w="28" w:type="dxa"/>
            </w:tcMar>
          </w:tcPr>
          <w:p w14:paraId="1F19BCC7" w14:textId="77777777" w:rsidR="00FC64C5" w:rsidRPr="008A401B" w:rsidRDefault="00FC64C5" w:rsidP="00F3373E">
            <w:pPr>
              <w:jc w:val="both"/>
              <w:rPr>
                <w:rFonts w:ascii="Calibri" w:eastAsia="Calibri" w:hAnsi="Calibri" w:cs="Times New Roman"/>
                <w:sz w:val="16"/>
                <w:szCs w:val="16"/>
              </w:rPr>
            </w:pPr>
          </w:p>
        </w:tc>
        <w:tc>
          <w:tcPr>
            <w:tcW w:w="744" w:type="dxa"/>
            <w:shd w:val="clear" w:color="auto" w:fill="9FB7E1"/>
            <w:tcMar>
              <w:left w:w="28" w:type="dxa"/>
              <w:right w:w="28" w:type="dxa"/>
            </w:tcMar>
            <w:vAlign w:val="center"/>
          </w:tcPr>
          <w:p w14:paraId="396BDF8E"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Salaires (P1)</w:t>
            </w:r>
          </w:p>
        </w:tc>
        <w:tc>
          <w:tcPr>
            <w:tcW w:w="672" w:type="dxa"/>
            <w:shd w:val="clear" w:color="auto" w:fill="9FB7E1"/>
            <w:tcMar>
              <w:left w:w="28" w:type="dxa"/>
              <w:right w:w="28" w:type="dxa"/>
            </w:tcMar>
            <w:vAlign w:val="center"/>
          </w:tcPr>
          <w:p w14:paraId="7A6C2C70"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Biens et services (P2)</w:t>
            </w:r>
          </w:p>
        </w:tc>
        <w:tc>
          <w:tcPr>
            <w:tcW w:w="865" w:type="dxa"/>
            <w:shd w:val="clear" w:color="auto" w:fill="9FB7E1"/>
            <w:tcMar>
              <w:left w:w="28" w:type="dxa"/>
              <w:right w:w="28" w:type="dxa"/>
            </w:tcMar>
            <w:vAlign w:val="center"/>
          </w:tcPr>
          <w:p w14:paraId="22F1CD6F"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Transferts et subventions (P4)</w:t>
            </w:r>
          </w:p>
        </w:tc>
        <w:tc>
          <w:tcPr>
            <w:tcW w:w="1124" w:type="dxa"/>
            <w:shd w:val="clear" w:color="auto" w:fill="9FB7E1"/>
            <w:tcMar>
              <w:left w:w="28" w:type="dxa"/>
              <w:right w:w="28" w:type="dxa"/>
            </w:tcMar>
            <w:vAlign w:val="center"/>
          </w:tcPr>
          <w:p w14:paraId="3162E1D5"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Investissements en capital (P6)</w:t>
            </w:r>
          </w:p>
        </w:tc>
        <w:tc>
          <w:tcPr>
            <w:tcW w:w="801" w:type="dxa"/>
            <w:shd w:val="clear" w:color="auto" w:fill="9FB7E1"/>
            <w:tcMar>
              <w:left w:w="28" w:type="dxa"/>
              <w:right w:w="28" w:type="dxa"/>
            </w:tcMar>
            <w:vAlign w:val="center"/>
          </w:tcPr>
          <w:p w14:paraId="397E7F4C"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b/>
                <w:bCs/>
                <w:sz w:val="16"/>
                <w:szCs w:val="16"/>
              </w:rPr>
              <w:t>Autres dépenses (P7)</w:t>
            </w:r>
          </w:p>
        </w:tc>
        <w:tc>
          <w:tcPr>
            <w:tcW w:w="595" w:type="dxa"/>
            <w:vMerge/>
            <w:tcMar>
              <w:left w:w="28" w:type="dxa"/>
              <w:right w:w="28" w:type="dxa"/>
            </w:tcMar>
          </w:tcPr>
          <w:p w14:paraId="44E6550F" w14:textId="77777777" w:rsidR="00FC64C5" w:rsidRPr="008A401B" w:rsidRDefault="00FC64C5" w:rsidP="00F3373E">
            <w:pPr>
              <w:jc w:val="both"/>
              <w:rPr>
                <w:rFonts w:ascii="Calibri" w:eastAsia="Calibri" w:hAnsi="Calibri" w:cs="Times New Roman"/>
                <w:sz w:val="16"/>
                <w:szCs w:val="16"/>
              </w:rPr>
            </w:pPr>
          </w:p>
        </w:tc>
        <w:tc>
          <w:tcPr>
            <w:tcW w:w="708" w:type="dxa"/>
            <w:vMerge/>
            <w:tcMar>
              <w:left w:w="28" w:type="dxa"/>
              <w:right w:w="28" w:type="dxa"/>
            </w:tcMar>
          </w:tcPr>
          <w:p w14:paraId="535A011B" w14:textId="77777777" w:rsidR="00FC64C5" w:rsidRPr="008A401B" w:rsidRDefault="00FC64C5" w:rsidP="00F3373E">
            <w:pPr>
              <w:jc w:val="both"/>
              <w:rPr>
                <w:rFonts w:ascii="Calibri" w:eastAsia="Calibri" w:hAnsi="Calibri" w:cs="Times New Roman"/>
                <w:sz w:val="16"/>
                <w:szCs w:val="16"/>
              </w:rPr>
            </w:pPr>
          </w:p>
        </w:tc>
        <w:tc>
          <w:tcPr>
            <w:tcW w:w="608" w:type="dxa"/>
            <w:vMerge/>
            <w:tcMar>
              <w:left w:w="28" w:type="dxa"/>
              <w:right w:w="28" w:type="dxa"/>
            </w:tcMar>
          </w:tcPr>
          <w:p w14:paraId="3EE94EC9" w14:textId="77777777" w:rsidR="00FC64C5" w:rsidRPr="008A401B" w:rsidRDefault="00FC64C5" w:rsidP="00F3373E">
            <w:pPr>
              <w:jc w:val="both"/>
              <w:rPr>
                <w:rFonts w:ascii="Calibri" w:eastAsia="Calibri" w:hAnsi="Calibri" w:cs="Times New Roman"/>
                <w:sz w:val="16"/>
                <w:szCs w:val="16"/>
              </w:rPr>
            </w:pPr>
          </w:p>
        </w:tc>
      </w:tr>
      <w:tr w:rsidR="00FC64C5" w:rsidRPr="008A401B" w14:paraId="19E9F9B1" w14:textId="77777777" w:rsidTr="00F3373E">
        <w:tc>
          <w:tcPr>
            <w:tcW w:w="10790" w:type="dxa"/>
            <w:gridSpan w:val="13"/>
            <w:shd w:val="clear" w:color="auto" w:fill="538135"/>
            <w:tcMar>
              <w:left w:w="28" w:type="dxa"/>
              <w:right w:w="28" w:type="dxa"/>
            </w:tcMar>
            <w:vAlign w:val="center"/>
          </w:tcPr>
          <w:p w14:paraId="31977180" w14:textId="77777777" w:rsidR="00FC64C5" w:rsidRPr="008A401B" w:rsidRDefault="00FC64C5" w:rsidP="00F3373E">
            <w:pPr>
              <w:jc w:val="both"/>
              <w:rPr>
                <w:rFonts w:ascii="Calibri" w:eastAsia="Calibri" w:hAnsi="Calibri" w:cs="Times New Roman"/>
                <w:b/>
                <w:bCs/>
                <w:sz w:val="16"/>
                <w:szCs w:val="16"/>
              </w:rPr>
            </w:pPr>
            <w:r w:rsidRPr="008A401B">
              <w:rPr>
                <w:rFonts w:ascii="Calibri" w:eastAsia="Calibri" w:hAnsi="Calibri" w:cs="Times New Roman"/>
                <w:b/>
                <w:bCs/>
                <w:color w:val="FFFFFF"/>
                <w:sz w:val="16"/>
                <w:szCs w:val="16"/>
              </w:rPr>
              <w:t>MASEF</w:t>
            </w:r>
          </w:p>
        </w:tc>
      </w:tr>
      <w:tr w:rsidR="00FC64C5" w:rsidRPr="008A401B" w14:paraId="04E074D5" w14:textId="77777777" w:rsidTr="00F3373E">
        <w:tc>
          <w:tcPr>
            <w:tcW w:w="838" w:type="dxa"/>
            <w:vMerge w:val="restart"/>
            <w:shd w:val="clear" w:color="auto" w:fill="C5E0B3"/>
            <w:tcMar>
              <w:left w:w="28" w:type="dxa"/>
              <w:right w:w="28" w:type="dxa"/>
            </w:tcMar>
            <w:vAlign w:val="center"/>
          </w:tcPr>
          <w:p w14:paraId="401CCC00" w14:textId="77777777" w:rsidR="00FC64C5" w:rsidRPr="008A401B" w:rsidRDefault="00FC64C5" w:rsidP="00F3373E">
            <w:pPr>
              <w:jc w:val="center"/>
              <w:rPr>
                <w:rFonts w:ascii="Calibri" w:eastAsia="Calibri" w:hAnsi="Calibri" w:cs="Times New Roman"/>
                <w:b/>
                <w:bCs/>
                <w:sz w:val="16"/>
                <w:szCs w:val="16"/>
              </w:rPr>
            </w:pPr>
            <w:r w:rsidRPr="008A401B">
              <w:rPr>
                <w:rFonts w:ascii="Calibri" w:eastAsia="Calibri" w:hAnsi="Calibri" w:cs="Times New Roman"/>
                <w:b/>
                <w:bCs/>
                <w:sz w:val="16"/>
                <w:szCs w:val="16"/>
              </w:rPr>
              <w:t>096</w:t>
            </w:r>
          </w:p>
        </w:tc>
        <w:tc>
          <w:tcPr>
            <w:tcW w:w="782" w:type="dxa"/>
            <w:shd w:val="clear" w:color="auto" w:fill="C5E0B3"/>
            <w:tcMar>
              <w:left w:w="28" w:type="dxa"/>
              <w:right w:w="28" w:type="dxa"/>
            </w:tcMar>
            <w:vAlign w:val="center"/>
          </w:tcPr>
          <w:p w14:paraId="2BCAE787" w14:textId="77777777" w:rsidR="00FC64C5" w:rsidRPr="008A401B" w:rsidRDefault="00FC64C5" w:rsidP="00F3373E">
            <w:pPr>
              <w:jc w:val="center"/>
              <w:rPr>
                <w:rFonts w:ascii="Calibri" w:eastAsia="Calibri" w:hAnsi="Calibri" w:cs="Times New Roman"/>
                <w:sz w:val="16"/>
                <w:szCs w:val="16"/>
              </w:rPr>
            </w:pPr>
          </w:p>
        </w:tc>
        <w:tc>
          <w:tcPr>
            <w:tcW w:w="767" w:type="dxa"/>
            <w:shd w:val="clear" w:color="auto" w:fill="C5E0B3"/>
            <w:tcMar>
              <w:left w:w="28" w:type="dxa"/>
              <w:right w:w="28" w:type="dxa"/>
            </w:tcMar>
            <w:vAlign w:val="center"/>
          </w:tcPr>
          <w:p w14:paraId="2221037B" w14:textId="77777777" w:rsidR="00FC64C5" w:rsidRPr="008A401B" w:rsidRDefault="00FC64C5" w:rsidP="00F3373E">
            <w:pPr>
              <w:jc w:val="center"/>
              <w:rPr>
                <w:rFonts w:ascii="Calibri" w:eastAsia="Calibri" w:hAnsi="Calibri" w:cs="Times New Roman"/>
                <w:b/>
                <w:bCs/>
                <w:sz w:val="16"/>
                <w:szCs w:val="16"/>
              </w:rPr>
            </w:pPr>
            <w:r w:rsidRPr="008A401B">
              <w:rPr>
                <w:rFonts w:ascii="Calibri" w:eastAsia="Calibri" w:hAnsi="Calibri" w:cs="Times New Roman"/>
                <w:b/>
                <w:bCs/>
                <w:sz w:val="16"/>
                <w:szCs w:val="16"/>
              </w:rPr>
              <w:t>MASEF</w:t>
            </w:r>
          </w:p>
        </w:tc>
        <w:tc>
          <w:tcPr>
            <w:tcW w:w="2286" w:type="dxa"/>
            <w:gridSpan w:val="2"/>
            <w:shd w:val="clear" w:color="auto" w:fill="C5E0B3"/>
            <w:tcMar>
              <w:left w:w="28" w:type="dxa"/>
              <w:right w:w="28" w:type="dxa"/>
            </w:tcMar>
          </w:tcPr>
          <w:p w14:paraId="678F4C90" w14:textId="77777777" w:rsidR="00FC64C5" w:rsidRPr="008A401B" w:rsidRDefault="00FC64C5" w:rsidP="00F3373E">
            <w:pPr>
              <w:rPr>
                <w:rFonts w:ascii="Calibri" w:eastAsia="Calibri" w:hAnsi="Calibri" w:cs="Times New Roman"/>
                <w:b/>
                <w:bCs/>
                <w:sz w:val="16"/>
                <w:szCs w:val="16"/>
              </w:rPr>
            </w:pPr>
            <w:r w:rsidRPr="008A401B">
              <w:rPr>
                <w:rFonts w:ascii="Calibri" w:eastAsia="Calibri" w:hAnsi="Calibri" w:cs="Times New Roman"/>
                <w:b/>
                <w:bCs/>
                <w:sz w:val="16"/>
                <w:szCs w:val="16"/>
              </w:rPr>
              <w:t>Programme 096 – Protection et développement de l’enfance</w:t>
            </w:r>
          </w:p>
        </w:tc>
        <w:tc>
          <w:tcPr>
            <w:tcW w:w="744" w:type="dxa"/>
            <w:shd w:val="clear" w:color="auto" w:fill="C5E0B3"/>
            <w:tcMar>
              <w:left w:w="28" w:type="dxa"/>
              <w:right w:w="28" w:type="dxa"/>
            </w:tcMar>
            <w:vAlign w:val="center"/>
          </w:tcPr>
          <w:p w14:paraId="7F792A11"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7 500</w:t>
            </w:r>
          </w:p>
        </w:tc>
        <w:tc>
          <w:tcPr>
            <w:tcW w:w="672" w:type="dxa"/>
            <w:shd w:val="clear" w:color="auto" w:fill="C5E0B3"/>
            <w:tcMar>
              <w:left w:w="28" w:type="dxa"/>
              <w:right w:w="28" w:type="dxa"/>
            </w:tcMar>
            <w:vAlign w:val="center"/>
          </w:tcPr>
          <w:p w14:paraId="664FD4BF"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4 000</w:t>
            </w:r>
          </w:p>
        </w:tc>
        <w:tc>
          <w:tcPr>
            <w:tcW w:w="865" w:type="dxa"/>
            <w:shd w:val="clear" w:color="auto" w:fill="C5E0B3"/>
            <w:tcMar>
              <w:left w:w="28" w:type="dxa"/>
              <w:right w:w="28" w:type="dxa"/>
            </w:tcMar>
            <w:vAlign w:val="center"/>
          </w:tcPr>
          <w:p w14:paraId="1FA185EB"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4 000</w:t>
            </w:r>
          </w:p>
        </w:tc>
        <w:tc>
          <w:tcPr>
            <w:tcW w:w="1124" w:type="dxa"/>
            <w:shd w:val="clear" w:color="auto" w:fill="C5E0B3"/>
            <w:tcMar>
              <w:left w:w="28" w:type="dxa"/>
              <w:right w:w="28" w:type="dxa"/>
            </w:tcMar>
            <w:vAlign w:val="center"/>
          </w:tcPr>
          <w:p w14:paraId="129B5CBE"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10 000</w:t>
            </w:r>
          </w:p>
        </w:tc>
        <w:tc>
          <w:tcPr>
            <w:tcW w:w="801" w:type="dxa"/>
            <w:shd w:val="clear" w:color="auto" w:fill="C5E0B3"/>
            <w:tcMar>
              <w:left w:w="28" w:type="dxa"/>
              <w:right w:w="28" w:type="dxa"/>
            </w:tcMar>
            <w:vAlign w:val="center"/>
          </w:tcPr>
          <w:p w14:paraId="6D41ACBA"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3 000</w:t>
            </w:r>
          </w:p>
        </w:tc>
        <w:tc>
          <w:tcPr>
            <w:tcW w:w="595" w:type="dxa"/>
            <w:shd w:val="clear" w:color="auto" w:fill="C5E0B3"/>
            <w:tcMar>
              <w:left w:w="28" w:type="dxa"/>
              <w:right w:w="28" w:type="dxa"/>
            </w:tcMar>
            <w:vAlign w:val="center"/>
          </w:tcPr>
          <w:p w14:paraId="0B8C5542"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28 500</w:t>
            </w:r>
          </w:p>
        </w:tc>
        <w:tc>
          <w:tcPr>
            <w:tcW w:w="708" w:type="dxa"/>
            <w:shd w:val="clear" w:color="auto" w:fill="C5E0B3"/>
            <w:tcMar>
              <w:left w:w="28" w:type="dxa"/>
              <w:right w:w="28" w:type="dxa"/>
            </w:tcMar>
            <w:vAlign w:val="center"/>
          </w:tcPr>
          <w:p w14:paraId="21AF77DB"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7 000</w:t>
            </w:r>
          </w:p>
        </w:tc>
        <w:tc>
          <w:tcPr>
            <w:tcW w:w="608" w:type="dxa"/>
            <w:shd w:val="clear" w:color="auto" w:fill="C5E0B3"/>
            <w:tcMar>
              <w:left w:w="28" w:type="dxa"/>
              <w:right w:w="28" w:type="dxa"/>
            </w:tcMar>
            <w:vAlign w:val="center"/>
          </w:tcPr>
          <w:p w14:paraId="6395CCD8"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24,6 %</w:t>
            </w:r>
          </w:p>
        </w:tc>
      </w:tr>
      <w:tr w:rsidR="00FC64C5" w:rsidRPr="008A401B" w14:paraId="108D7161" w14:textId="77777777" w:rsidTr="00F3373E">
        <w:tc>
          <w:tcPr>
            <w:tcW w:w="838" w:type="dxa"/>
            <w:vMerge/>
            <w:shd w:val="clear" w:color="auto" w:fill="C5E0B3"/>
            <w:tcMar>
              <w:left w:w="28" w:type="dxa"/>
              <w:right w:w="28" w:type="dxa"/>
            </w:tcMar>
            <w:vAlign w:val="center"/>
          </w:tcPr>
          <w:p w14:paraId="31EEB43F" w14:textId="77777777" w:rsidR="00FC64C5" w:rsidRPr="008A401B" w:rsidRDefault="00FC64C5" w:rsidP="00F3373E">
            <w:pPr>
              <w:jc w:val="center"/>
              <w:rPr>
                <w:rFonts w:ascii="Calibri" w:eastAsia="Calibri" w:hAnsi="Calibri" w:cs="Times New Roman"/>
                <w:b/>
                <w:bCs/>
                <w:sz w:val="16"/>
                <w:szCs w:val="16"/>
              </w:rPr>
            </w:pPr>
          </w:p>
        </w:tc>
        <w:tc>
          <w:tcPr>
            <w:tcW w:w="782" w:type="dxa"/>
            <w:shd w:val="clear" w:color="auto" w:fill="E2EFD9"/>
            <w:tcMar>
              <w:left w:w="28" w:type="dxa"/>
              <w:right w:w="28" w:type="dxa"/>
            </w:tcMar>
            <w:vAlign w:val="center"/>
          </w:tcPr>
          <w:p w14:paraId="2D859673"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02</w:t>
            </w:r>
          </w:p>
        </w:tc>
        <w:tc>
          <w:tcPr>
            <w:tcW w:w="767" w:type="dxa"/>
            <w:shd w:val="clear" w:color="auto" w:fill="E2EFD9"/>
            <w:tcMar>
              <w:left w:w="28" w:type="dxa"/>
              <w:right w:w="28" w:type="dxa"/>
            </w:tcMar>
            <w:vAlign w:val="center"/>
          </w:tcPr>
          <w:p w14:paraId="78E99124"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DECS</w:t>
            </w:r>
          </w:p>
        </w:tc>
        <w:tc>
          <w:tcPr>
            <w:tcW w:w="1631" w:type="dxa"/>
            <w:shd w:val="clear" w:color="auto" w:fill="E2EFD9"/>
            <w:tcMar>
              <w:left w:w="28" w:type="dxa"/>
              <w:right w:w="28" w:type="dxa"/>
            </w:tcMar>
          </w:tcPr>
          <w:p w14:paraId="33720A57" w14:textId="77777777" w:rsidR="00FC64C5" w:rsidRPr="008A401B" w:rsidRDefault="00FC64C5" w:rsidP="00F3373E">
            <w:pPr>
              <w:rPr>
                <w:rFonts w:ascii="Calibri" w:eastAsia="Calibri" w:hAnsi="Calibri" w:cs="Times New Roman"/>
                <w:sz w:val="16"/>
                <w:szCs w:val="16"/>
              </w:rPr>
            </w:pPr>
            <w:r w:rsidRPr="008A401B">
              <w:rPr>
                <w:rFonts w:ascii="Calibri" w:eastAsia="Calibri" w:hAnsi="Calibri" w:cs="Times New Roman"/>
                <w:sz w:val="16"/>
                <w:szCs w:val="16"/>
              </w:rPr>
              <w:t>Action 02 – Développement de la petite enfance</w:t>
            </w:r>
          </w:p>
        </w:tc>
        <w:tc>
          <w:tcPr>
            <w:tcW w:w="655" w:type="dxa"/>
            <w:shd w:val="clear" w:color="auto" w:fill="E2EFD9"/>
            <w:tcMar>
              <w:left w:w="28" w:type="dxa"/>
              <w:right w:w="28" w:type="dxa"/>
            </w:tcMar>
            <w:vAlign w:val="center"/>
          </w:tcPr>
          <w:p w14:paraId="3903739D"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ILD 1</w:t>
            </w:r>
          </w:p>
        </w:tc>
        <w:tc>
          <w:tcPr>
            <w:tcW w:w="744" w:type="dxa"/>
            <w:shd w:val="clear" w:color="auto" w:fill="E2EFD9"/>
            <w:tcMar>
              <w:left w:w="28" w:type="dxa"/>
              <w:right w:w="28" w:type="dxa"/>
            </w:tcMar>
            <w:vAlign w:val="center"/>
          </w:tcPr>
          <w:p w14:paraId="547716DD"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7 500</w:t>
            </w:r>
          </w:p>
        </w:tc>
        <w:tc>
          <w:tcPr>
            <w:tcW w:w="672" w:type="dxa"/>
            <w:shd w:val="clear" w:color="auto" w:fill="E2EFD9"/>
            <w:tcMar>
              <w:left w:w="28" w:type="dxa"/>
              <w:right w:w="28" w:type="dxa"/>
            </w:tcMar>
            <w:vAlign w:val="center"/>
          </w:tcPr>
          <w:p w14:paraId="77B50B67"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4 000</w:t>
            </w:r>
          </w:p>
        </w:tc>
        <w:tc>
          <w:tcPr>
            <w:tcW w:w="865" w:type="dxa"/>
            <w:shd w:val="clear" w:color="auto" w:fill="E2EFD9"/>
            <w:tcMar>
              <w:left w:w="28" w:type="dxa"/>
              <w:right w:w="28" w:type="dxa"/>
            </w:tcMar>
            <w:vAlign w:val="center"/>
          </w:tcPr>
          <w:p w14:paraId="77835691"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4 000</w:t>
            </w:r>
          </w:p>
        </w:tc>
        <w:tc>
          <w:tcPr>
            <w:tcW w:w="1124" w:type="dxa"/>
            <w:shd w:val="clear" w:color="auto" w:fill="E2EFD9"/>
            <w:tcMar>
              <w:left w:w="28" w:type="dxa"/>
              <w:right w:w="28" w:type="dxa"/>
            </w:tcMar>
            <w:vAlign w:val="center"/>
          </w:tcPr>
          <w:p w14:paraId="049CE51A"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10 000</w:t>
            </w:r>
          </w:p>
        </w:tc>
        <w:tc>
          <w:tcPr>
            <w:tcW w:w="801" w:type="dxa"/>
            <w:shd w:val="clear" w:color="auto" w:fill="E2EFD9"/>
            <w:tcMar>
              <w:left w:w="28" w:type="dxa"/>
              <w:right w:w="28" w:type="dxa"/>
            </w:tcMar>
            <w:vAlign w:val="center"/>
          </w:tcPr>
          <w:p w14:paraId="120DC3A1"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3 000</w:t>
            </w:r>
          </w:p>
        </w:tc>
        <w:tc>
          <w:tcPr>
            <w:tcW w:w="595" w:type="dxa"/>
            <w:shd w:val="clear" w:color="auto" w:fill="E2EFD9"/>
            <w:tcMar>
              <w:left w:w="28" w:type="dxa"/>
              <w:right w:w="28" w:type="dxa"/>
            </w:tcMar>
            <w:vAlign w:val="center"/>
          </w:tcPr>
          <w:p w14:paraId="3516BF45"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28 500</w:t>
            </w:r>
          </w:p>
        </w:tc>
        <w:tc>
          <w:tcPr>
            <w:tcW w:w="708" w:type="dxa"/>
            <w:shd w:val="clear" w:color="auto" w:fill="E2EFD9"/>
            <w:tcMar>
              <w:left w:w="28" w:type="dxa"/>
              <w:right w:w="28" w:type="dxa"/>
            </w:tcMar>
            <w:vAlign w:val="center"/>
          </w:tcPr>
          <w:p w14:paraId="44B4945B"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7 000</w:t>
            </w:r>
          </w:p>
        </w:tc>
        <w:tc>
          <w:tcPr>
            <w:tcW w:w="608" w:type="dxa"/>
            <w:shd w:val="clear" w:color="auto" w:fill="E2EFD9"/>
            <w:tcMar>
              <w:left w:w="28" w:type="dxa"/>
              <w:right w:w="28" w:type="dxa"/>
            </w:tcMar>
            <w:vAlign w:val="center"/>
          </w:tcPr>
          <w:p w14:paraId="5EAC3C2D"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24,6 %</w:t>
            </w:r>
          </w:p>
        </w:tc>
      </w:tr>
      <w:tr w:rsidR="00FC64C5" w:rsidRPr="008A401B" w14:paraId="38087352" w14:textId="77777777" w:rsidTr="00F3373E">
        <w:tc>
          <w:tcPr>
            <w:tcW w:w="10790" w:type="dxa"/>
            <w:gridSpan w:val="13"/>
            <w:shd w:val="clear" w:color="auto" w:fill="1F4E79"/>
            <w:tcMar>
              <w:left w:w="28" w:type="dxa"/>
              <w:right w:w="28" w:type="dxa"/>
            </w:tcMar>
            <w:vAlign w:val="center"/>
          </w:tcPr>
          <w:p w14:paraId="1D43405A" w14:textId="77777777" w:rsidR="00FC64C5" w:rsidRPr="008A401B" w:rsidRDefault="00FC64C5" w:rsidP="00F3373E">
            <w:pPr>
              <w:rPr>
                <w:rFonts w:ascii="Calibri" w:eastAsia="Calibri" w:hAnsi="Calibri" w:cs="Times New Roman"/>
                <w:b/>
                <w:bCs/>
                <w:sz w:val="16"/>
                <w:szCs w:val="16"/>
              </w:rPr>
            </w:pPr>
            <w:r w:rsidRPr="008A401B">
              <w:rPr>
                <w:rFonts w:ascii="Calibri" w:eastAsia="Calibri" w:hAnsi="Calibri" w:cs="Times New Roman"/>
                <w:b/>
                <w:bCs/>
                <w:color w:val="FFFFFF"/>
                <w:sz w:val="16"/>
                <w:szCs w:val="16"/>
              </w:rPr>
              <w:t>MERSE</w:t>
            </w:r>
          </w:p>
        </w:tc>
      </w:tr>
      <w:tr w:rsidR="00FC64C5" w:rsidRPr="008A401B" w14:paraId="3EC0AF5C" w14:textId="77777777" w:rsidTr="00F3373E">
        <w:tc>
          <w:tcPr>
            <w:tcW w:w="838" w:type="dxa"/>
            <w:vMerge w:val="restart"/>
            <w:shd w:val="clear" w:color="auto" w:fill="9FB7E1"/>
            <w:tcMar>
              <w:left w:w="28" w:type="dxa"/>
              <w:right w:w="28" w:type="dxa"/>
            </w:tcMar>
            <w:vAlign w:val="center"/>
          </w:tcPr>
          <w:p w14:paraId="373CD43A" w14:textId="77777777" w:rsidR="00FC64C5" w:rsidRPr="008A401B" w:rsidRDefault="00FC64C5" w:rsidP="00F3373E">
            <w:pPr>
              <w:jc w:val="center"/>
              <w:rPr>
                <w:rFonts w:ascii="Calibri" w:eastAsia="Calibri" w:hAnsi="Calibri" w:cs="Times New Roman"/>
                <w:b/>
                <w:bCs/>
                <w:sz w:val="16"/>
                <w:szCs w:val="16"/>
              </w:rPr>
            </w:pPr>
            <w:r w:rsidRPr="008A401B">
              <w:rPr>
                <w:rFonts w:ascii="Calibri" w:eastAsia="Calibri" w:hAnsi="Calibri" w:cs="Times New Roman"/>
                <w:b/>
                <w:bCs/>
                <w:sz w:val="16"/>
                <w:szCs w:val="16"/>
              </w:rPr>
              <w:t>037</w:t>
            </w:r>
          </w:p>
          <w:p w14:paraId="33A67AD4" w14:textId="77777777" w:rsidR="00FC64C5" w:rsidRPr="008A401B" w:rsidRDefault="00FC64C5" w:rsidP="00F3373E">
            <w:pPr>
              <w:jc w:val="center"/>
              <w:rPr>
                <w:rFonts w:ascii="Calibri" w:eastAsia="Calibri" w:hAnsi="Calibri" w:cs="Times New Roman"/>
                <w:b/>
                <w:bCs/>
                <w:sz w:val="16"/>
                <w:szCs w:val="16"/>
              </w:rPr>
            </w:pPr>
          </w:p>
        </w:tc>
        <w:tc>
          <w:tcPr>
            <w:tcW w:w="782" w:type="dxa"/>
            <w:shd w:val="clear" w:color="auto" w:fill="9FB7E1"/>
            <w:tcMar>
              <w:left w:w="28" w:type="dxa"/>
              <w:right w:w="28" w:type="dxa"/>
            </w:tcMar>
            <w:vAlign w:val="center"/>
          </w:tcPr>
          <w:p w14:paraId="14C2F4FB" w14:textId="77777777" w:rsidR="00FC64C5" w:rsidRPr="008A401B" w:rsidRDefault="00FC64C5" w:rsidP="00F3373E">
            <w:pPr>
              <w:jc w:val="center"/>
              <w:rPr>
                <w:rFonts w:ascii="Calibri" w:eastAsia="Calibri" w:hAnsi="Calibri" w:cs="Times New Roman"/>
                <w:sz w:val="16"/>
                <w:szCs w:val="16"/>
              </w:rPr>
            </w:pPr>
          </w:p>
        </w:tc>
        <w:tc>
          <w:tcPr>
            <w:tcW w:w="767" w:type="dxa"/>
            <w:shd w:val="clear" w:color="auto" w:fill="9FB7E1"/>
            <w:tcMar>
              <w:left w:w="28" w:type="dxa"/>
              <w:right w:w="28" w:type="dxa"/>
            </w:tcMar>
            <w:vAlign w:val="center"/>
          </w:tcPr>
          <w:p w14:paraId="163CEC1F" w14:textId="77777777" w:rsidR="00FC64C5" w:rsidRPr="008A401B" w:rsidRDefault="00FC64C5" w:rsidP="00F3373E">
            <w:pPr>
              <w:jc w:val="center"/>
              <w:rPr>
                <w:rFonts w:ascii="Calibri" w:eastAsia="Calibri" w:hAnsi="Calibri" w:cs="Times New Roman"/>
                <w:b/>
                <w:bCs/>
                <w:sz w:val="16"/>
                <w:szCs w:val="16"/>
              </w:rPr>
            </w:pPr>
            <w:r w:rsidRPr="008A401B">
              <w:rPr>
                <w:rFonts w:ascii="Calibri" w:eastAsia="Calibri" w:hAnsi="Calibri" w:cs="Times New Roman"/>
                <w:b/>
                <w:bCs/>
                <w:sz w:val="16"/>
                <w:szCs w:val="16"/>
              </w:rPr>
              <w:t>MERSE</w:t>
            </w:r>
          </w:p>
        </w:tc>
        <w:tc>
          <w:tcPr>
            <w:tcW w:w="2286" w:type="dxa"/>
            <w:gridSpan w:val="2"/>
            <w:shd w:val="clear" w:color="auto" w:fill="9FB7E1"/>
            <w:tcMar>
              <w:left w:w="28" w:type="dxa"/>
              <w:right w:w="28" w:type="dxa"/>
            </w:tcMar>
            <w:vAlign w:val="center"/>
          </w:tcPr>
          <w:p w14:paraId="3A3B17CF" w14:textId="77777777" w:rsidR="00FC64C5" w:rsidRPr="008A401B" w:rsidRDefault="00FC64C5" w:rsidP="00F3373E">
            <w:pPr>
              <w:jc w:val="both"/>
              <w:rPr>
                <w:rFonts w:ascii="Calibri" w:eastAsia="Calibri" w:hAnsi="Calibri" w:cs="Times New Roman"/>
                <w:b/>
                <w:bCs/>
                <w:sz w:val="16"/>
                <w:szCs w:val="16"/>
              </w:rPr>
            </w:pPr>
            <w:r w:rsidRPr="008A401B">
              <w:rPr>
                <w:rFonts w:ascii="Calibri" w:eastAsia="Calibri" w:hAnsi="Calibri" w:cs="Times New Roman"/>
                <w:b/>
                <w:bCs/>
                <w:sz w:val="16"/>
                <w:szCs w:val="16"/>
              </w:rPr>
              <w:t>Programme 037 – Appui</w:t>
            </w:r>
          </w:p>
        </w:tc>
        <w:tc>
          <w:tcPr>
            <w:tcW w:w="744" w:type="dxa"/>
            <w:shd w:val="clear" w:color="auto" w:fill="9FB7E1"/>
            <w:tcMar>
              <w:left w:w="28" w:type="dxa"/>
              <w:right w:w="28" w:type="dxa"/>
            </w:tcMar>
            <w:vAlign w:val="center"/>
          </w:tcPr>
          <w:p w14:paraId="080D4309"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13 000</w:t>
            </w:r>
          </w:p>
        </w:tc>
        <w:tc>
          <w:tcPr>
            <w:tcW w:w="672" w:type="dxa"/>
            <w:shd w:val="clear" w:color="auto" w:fill="9FB7E1"/>
            <w:tcMar>
              <w:left w:w="28" w:type="dxa"/>
              <w:right w:w="28" w:type="dxa"/>
            </w:tcMar>
            <w:vAlign w:val="center"/>
          </w:tcPr>
          <w:p w14:paraId="7FD153C8"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13 000</w:t>
            </w:r>
          </w:p>
        </w:tc>
        <w:tc>
          <w:tcPr>
            <w:tcW w:w="865" w:type="dxa"/>
            <w:shd w:val="clear" w:color="auto" w:fill="9FB7E1"/>
            <w:tcMar>
              <w:left w:w="28" w:type="dxa"/>
              <w:right w:w="28" w:type="dxa"/>
            </w:tcMar>
            <w:vAlign w:val="center"/>
          </w:tcPr>
          <w:p w14:paraId="1C88239C"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18 000</w:t>
            </w:r>
          </w:p>
        </w:tc>
        <w:tc>
          <w:tcPr>
            <w:tcW w:w="1124" w:type="dxa"/>
            <w:shd w:val="clear" w:color="auto" w:fill="9FB7E1"/>
            <w:tcMar>
              <w:left w:w="28" w:type="dxa"/>
              <w:right w:w="28" w:type="dxa"/>
            </w:tcMar>
            <w:vAlign w:val="center"/>
          </w:tcPr>
          <w:p w14:paraId="2DCAC634"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9 000</w:t>
            </w:r>
          </w:p>
        </w:tc>
        <w:tc>
          <w:tcPr>
            <w:tcW w:w="801" w:type="dxa"/>
            <w:shd w:val="clear" w:color="auto" w:fill="9FB7E1"/>
            <w:tcMar>
              <w:left w:w="28" w:type="dxa"/>
              <w:right w:w="28" w:type="dxa"/>
            </w:tcMar>
            <w:vAlign w:val="center"/>
          </w:tcPr>
          <w:p w14:paraId="57228B03"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5 500</w:t>
            </w:r>
          </w:p>
        </w:tc>
        <w:tc>
          <w:tcPr>
            <w:tcW w:w="595" w:type="dxa"/>
            <w:shd w:val="clear" w:color="auto" w:fill="9FB7E1"/>
            <w:tcMar>
              <w:left w:w="28" w:type="dxa"/>
              <w:right w:w="28" w:type="dxa"/>
            </w:tcMar>
            <w:vAlign w:val="center"/>
          </w:tcPr>
          <w:p w14:paraId="633BCEED"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58 500</w:t>
            </w:r>
          </w:p>
        </w:tc>
        <w:tc>
          <w:tcPr>
            <w:tcW w:w="708" w:type="dxa"/>
            <w:shd w:val="clear" w:color="auto" w:fill="9FB7E1"/>
            <w:tcMar>
              <w:left w:w="28" w:type="dxa"/>
              <w:right w:w="28" w:type="dxa"/>
            </w:tcMar>
            <w:vAlign w:val="center"/>
          </w:tcPr>
          <w:p w14:paraId="087E35F7"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26 050</w:t>
            </w:r>
          </w:p>
        </w:tc>
        <w:tc>
          <w:tcPr>
            <w:tcW w:w="608" w:type="dxa"/>
            <w:shd w:val="clear" w:color="auto" w:fill="9FB7E1"/>
            <w:tcMar>
              <w:left w:w="28" w:type="dxa"/>
              <w:right w:w="28" w:type="dxa"/>
            </w:tcMar>
            <w:vAlign w:val="center"/>
          </w:tcPr>
          <w:p w14:paraId="6CE8EC5D"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44,5 %</w:t>
            </w:r>
          </w:p>
        </w:tc>
      </w:tr>
      <w:tr w:rsidR="00FC64C5" w:rsidRPr="008A401B" w14:paraId="5863A5FE" w14:textId="77777777" w:rsidTr="00F3373E">
        <w:tc>
          <w:tcPr>
            <w:tcW w:w="838" w:type="dxa"/>
            <w:vMerge/>
            <w:shd w:val="clear" w:color="auto" w:fill="9FB7E1"/>
            <w:tcMar>
              <w:left w:w="28" w:type="dxa"/>
              <w:right w:w="28" w:type="dxa"/>
            </w:tcMar>
            <w:vAlign w:val="center"/>
          </w:tcPr>
          <w:p w14:paraId="011434C4" w14:textId="77777777" w:rsidR="00FC64C5" w:rsidRPr="008A401B" w:rsidRDefault="00FC64C5" w:rsidP="00F3373E">
            <w:pPr>
              <w:jc w:val="center"/>
              <w:rPr>
                <w:rFonts w:ascii="Calibri" w:eastAsia="Calibri" w:hAnsi="Calibri" w:cs="Times New Roman"/>
                <w:b/>
                <w:bCs/>
                <w:sz w:val="16"/>
                <w:szCs w:val="16"/>
              </w:rPr>
            </w:pPr>
          </w:p>
        </w:tc>
        <w:tc>
          <w:tcPr>
            <w:tcW w:w="782" w:type="dxa"/>
            <w:shd w:val="clear" w:color="auto" w:fill="F2F7FC"/>
            <w:tcMar>
              <w:left w:w="28" w:type="dxa"/>
              <w:right w:w="28" w:type="dxa"/>
            </w:tcMar>
            <w:vAlign w:val="center"/>
          </w:tcPr>
          <w:p w14:paraId="7F38FC98"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02</w:t>
            </w:r>
          </w:p>
        </w:tc>
        <w:tc>
          <w:tcPr>
            <w:tcW w:w="767" w:type="dxa"/>
            <w:shd w:val="clear" w:color="auto" w:fill="F2F7FC"/>
            <w:tcMar>
              <w:left w:w="28" w:type="dxa"/>
              <w:right w:w="28" w:type="dxa"/>
            </w:tcMar>
            <w:vAlign w:val="center"/>
          </w:tcPr>
          <w:p w14:paraId="483F58AB"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DGRP</w:t>
            </w:r>
          </w:p>
        </w:tc>
        <w:tc>
          <w:tcPr>
            <w:tcW w:w="1631" w:type="dxa"/>
            <w:shd w:val="clear" w:color="auto" w:fill="F2F7FC"/>
            <w:tcMar>
              <w:left w:w="28" w:type="dxa"/>
              <w:right w:w="28" w:type="dxa"/>
            </w:tcMar>
            <w:vAlign w:val="center"/>
          </w:tcPr>
          <w:p w14:paraId="41396A78" w14:textId="77777777" w:rsidR="00FC64C5" w:rsidRPr="008A401B" w:rsidRDefault="00FC64C5" w:rsidP="00F3373E">
            <w:pPr>
              <w:rPr>
                <w:rFonts w:ascii="Calibri" w:eastAsia="Calibri" w:hAnsi="Calibri" w:cs="Times New Roman"/>
                <w:sz w:val="16"/>
                <w:szCs w:val="16"/>
              </w:rPr>
            </w:pPr>
            <w:r w:rsidRPr="008A401B">
              <w:rPr>
                <w:rFonts w:ascii="Calibri" w:eastAsia="Calibri" w:hAnsi="Calibri" w:cs="Times New Roman"/>
                <w:sz w:val="16"/>
                <w:szCs w:val="16"/>
              </w:rPr>
              <w:t>Action 02 – Mise en œuvre de la réforme éducative</w:t>
            </w:r>
          </w:p>
        </w:tc>
        <w:tc>
          <w:tcPr>
            <w:tcW w:w="655" w:type="dxa"/>
            <w:shd w:val="clear" w:color="auto" w:fill="F2F7FC"/>
            <w:tcMar>
              <w:left w:w="28" w:type="dxa"/>
              <w:right w:w="28" w:type="dxa"/>
            </w:tcMar>
            <w:vAlign w:val="center"/>
          </w:tcPr>
          <w:p w14:paraId="52B648F9"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ILD 4, 6 et 9</w:t>
            </w:r>
          </w:p>
        </w:tc>
        <w:tc>
          <w:tcPr>
            <w:tcW w:w="744" w:type="dxa"/>
            <w:shd w:val="clear" w:color="auto" w:fill="F2F7FC"/>
            <w:tcMar>
              <w:left w:w="28" w:type="dxa"/>
              <w:right w:w="28" w:type="dxa"/>
            </w:tcMar>
            <w:vAlign w:val="center"/>
          </w:tcPr>
          <w:p w14:paraId="361A47F5"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8 000</w:t>
            </w:r>
          </w:p>
        </w:tc>
        <w:tc>
          <w:tcPr>
            <w:tcW w:w="672" w:type="dxa"/>
            <w:shd w:val="clear" w:color="auto" w:fill="F2F7FC"/>
            <w:tcMar>
              <w:left w:w="28" w:type="dxa"/>
              <w:right w:w="28" w:type="dxa"/>
            </w:tcMar>
            <w:vAlign w:val="center"/>
          </w:tcPr>
          <w:p w14:paraId="29475121"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8 000</w:t>
            </w:r>
          </w:p>
        </w:tc>
        <w:tc>
          <w:tcPr>
            <w:tcW w:w="865" w:type="dxa"/>
            <w:shd w:val="clear" w:color="auto" w:fill="F2F7FC"/>
            <w:tcMar>
              <w:left w:w="28" w:type="dxa"/>
              <w:right w:w="28" w:type="dxa"/>
            </w:tcMar>
            <w:vAlign w:val="center"/>
          </w:tcPr>
          <w:p w14:paraId="300031A3"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10 000</w:t>
            </w:r>
          </w:p>
        </w:tc>
        <w:tc>
          <w:tcPr>
            <w:tcW w:w="1124" w:type="dxa"/>
            <w:shd w:val="clear" w:color="auto" w:fill="F2F7FC"/>
            <w:tcMar>
              <w:left w:w="28" w:type="dxa"/>
              <w:right w:w="28" w:type="dxa"/>
            </w:tcMar>
            <w:vAlign w:val="center"/>
          </w:tcPr>
          <w:p w14:paraId="127CFB1B"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8 000</w:t>
            </w:r>
          </w:p>
        </w:tc>
        <w:tc>
          <w:tcPr>
            <w:tcW w:w="801" w:type="dxa"/>
            <w:shd w:val="clear" w:color="auto" w:fill="F2F7FC"/>
            <w:tcMar>
              <w:left w:w="28" w:type="dxa"/>
              <w:right w:w="28" w:type="dxa"/>
            </w:tcMar>
            <w:vAlign w:val="center"/>
          </w:tcPr>
          <w:p w14:paraId="5FB9F9D2"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3 500</w:t>
            </w:r>
          </w:p>
        </w:tc>
        <w:tc>
          <w:tcPr>
            <w:tcW w:w="595" w:type="dxa"/>
            <w:shd w:val="clear" w:color="auto" w:fill="F2F7FC"/>
            <w:tcMar>
              <w:left w:w="28" w:type="dxa"/>
              <w:right w:w="28" w:type="dxa"/>
            </w:tcMar>
            <w:vAlign w:val="center"/>
          </w:tcPr>
          <w:p w14:paraId="7CB1E446"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37 500</w:t>
            </w:r>
          </w:p>
        </w:tc>
        <w:tc>
          <w:tcPr>
            <w:tcW w:w="708" w:type="dxa"/>
            <w:shd w:val="clear" w:color="auto" w:fill="F2F7FC"/>
            <w:tcMar>
              <w:left w:w="28" w:type="dxa"/>
              <w:right w:w="28" w:type="dxa"/>
            </w:tcMar>
            <w:vAlign w:val="center"/>
          </w:tcPr>
          <w:p w14:paraId="4F8F3C5A"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17 000</w:t>
            </w:r>
          </w:p>
        </w:tc>
        <w:tc>
          <w:tcPr>
            <w:tcW w:w="608" w:type="dxa"/>
            <w:shd w:val="clear" w:color="auto" w:fill="F2F7FC"/>
            <w:tcMar>
              <w:left w:w="28" w:type="dxa"/>
              <w:right w:w="28" w:type="dxa"/>
            </w:tcMar>
            <w:vAlign w:val="center"/>
          </w:tcPr>
          <w:p w14:paraId="450B2A54"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45,3 %</w:t>
            </w:r>
          </w:p>
        </w:tc>
      </w:tr>
      <w:tr w:rsidR="00FC64C5" w:rsidRPr="008A401B" w14:paraId="196B939A" w14:textId="77777777" w:rsidTr="00F3373E">
        <w:tc>
          <w:tcPr>
            <w:tcW w:w="838" w:type="dxa"/>
            <w:vMerge/>
            <w:shd w:val="clear" w:color="auto" w:fill="9FB7E1"/>
            <w:tcMar>
              <w:left w:w="28" w:type="dxa"/>
              <w:right w:w="28" w:type="dxa"/>
            </w:tcMar>
            <w:vAlign w:val="center"/>
          </w:tcPr>
          <w:p w14:paraId="01E3D413" w14:textId="77777777" w:rsidR="00FC64C5" w:rsidRPr="008A401B" w:rsidRDefault="00FC64C5" w:rsidP="00F3373E">
            <w:pPr>
              <w:jc w:val="center"/>
              <w:rPr>
                <w:rFonts w:ascii="Calibri" w:eastAsia="Calibri" w:hAnsi="Calibri" w:cs="Times New Roman"/>
                <w:b/>
                <w:bCs/>
                <w:sz w:val="16"/>
                <w:szCs w:val="16"/>
              </w:rPr>
            </w:pPr>
          </w:p>
        </w:tc>
        <w:tc>
          <w:tcPr>
            <w:tcW w:w="782" w:type="dxa"/>
            <w:shd w:val="clear" w:color="auto" w:fill="F2F7FC"/>
            <w:tcMar>
              <w:left w:w="28" w:type="dxa"/>
              <w:right w:w="28" w:type="dxa"/>
            </w:tcMar>
            <w:vAlign w:val="center"/>
          </w:tcPr>
          <w:p w14:paraId="1C4B855E"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03</w:t>
            </w:r>
          </w:p>
        </w:tc>
        <w:tc>
          <w:tcPr>
            <w:tcW w:w="767" w:type="dxa"/>
            <w:shd w:val="clear" w:color="auto" w:fill="F2F7FC"/>
            <w:tcMar>
              <w:left w:w="28" w:type="dxa"/>
              <w:right w:w="28" w:type="dxa"/>
            </w:tcMar>
            <w:vAlign w:val="center"/>
          </w:tcPr>
          <w:p w14:paraId="18481DED"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DGE</w:t>
            </w:r>
          </w:p>
        </w:tc>
        <w:tc>
          <w:tcPr>
            <w:tcW w:w="1631" w:type="dxa"/>
            <w:shd w:val="clear" w:color="auto" w:fill="F2F7FC"/>
            <w:tcMar>
              <w:left w:w="28" w:type="dxa"/>
              <w:right w:w="28" w:type="dxa"/>
            </w:tcMar>
            <w:vAlign w:val="center"/>
          </w:tcPr>
          <w:p w14:paraId="21B0CF1D" w14:textId="77777777" w:rsidR="00FC64C5" w:rsidRPr="008A401B" w:rsidRDefault="00FC64C5" w:rsidP="00F3373E">
            <w:pPr>
              <w:rPr>
                <w:rFonts w:ascii="Calibri" w:eastAsia="Calibri" w:hAnsi="Calibri" w:cs="Times New Roman"/>
                <w:sz w:val="16"/>
                <w:szCs w:val="16"/>
              </w:rPr>
            </w:pPr>
            <w:r w:rsidRPr="008A401B">
              <w:rPr>
                <w:rFonts w:ascii="Calibri" w:eastAsia="Calibri" w:hAnsi="Calibri" w:cs="Times New Roman"/>
                <w:sz w:val="16"/>
                <w:szCs w:val="16"/>
              </w:rPr>
              <w:t>Action 03 – Évaluation, contrôle et audit</w:t>
            </w:r>
          </w:p>
        </w:tc>
        <w:tc>
          <w:tcPr>
            <w:tcW w:w="655" w:type="dxa"/>
            <w:shd w:val="clear" w:color="auto" w:fill="F2F7FC"/>
            <w:tcMar>
              <w:left w:w="28" w:type="dxa"/>
              <w:right w:w="28" w:type="dxa"/>
            </w:tcMar>
            <w:vAlign w:val="center"/>
          </w:tcPr>
          <w:p w14:paraId="17063FFD"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ILD 8 et 10</w:t>
            </w:r>
          </w:p>
        </w:tc>
        <w:tc>
          <w:tcPr>
            <w:tcW w:w="744" w:type="dxa"/>
            <w:shd w:val="clear" w:color="auto" w:fill="F2F7FC"/>
            <w:tcMar>
              <w:left w:w="28" w:type="dxa"/>
              <w:right w:w="28" w:type="dxa"/>
            </w:tcMar>
            <w:vAlign w:val="center"/>
          </w:tcPr>
          <w:p w14:paraId="65D18614"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5 000</w:t>
            </w:r>
          </w:p>
        </w:tc>
        <w:tc>
          <w:tcPr>
            <w:tcW w:w="672" w:type="dxa"/>
            <w:shd w:val="clear" w:color="auto" w:fill="F2F7FC"/>
            <w:tcMar>
              <w:left w:w="28" w:type="dxa"/>
              <w:right w:w="28" w:type="dxa"/>
            </w:tcMar>
            <w:vAlign w:val="center"/>
          </w:tcPr>
          <w:p w14:paraId="32119DCF"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5 000</w:t>
            </w:r>
          </w:p>
        </w:tc>
        <w:tc>
          <w:tcPr>
            <w:tcW w:w="865" w:type="dxa"/>
            <w:shd w:val="clear" w:color="auto" w:fill="F2F7FC"/>
            <w:tcMar>
              <w:left w:w="28" w:type="dxa"/>
              <w:right w:w="28" w:type="dxa"/>
            </w:tcMar>
            <w:vAlign w:val="center"/>
          </w:tcPr>
          <w:p w14:paraId="68DFE14B"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8 000</w:t>
            </w:r>
          </w:p>
        </w:tc>
        <w:tc>
          <w:tcPr>
            <w:tcW w:w="1124" w:type="dxa"/>
            <w:shd w:val="clear" w:color="auto" w:fill="F2F7FC"/>
            <w:tcMar>
              <w:left w:w="28" w:type="dxa"/>
              <w:right w:w="28" w:type="dxa"/>
            </w:tcMar>
            <w:vAlign w:val="center"/>
          </w:tcPr>
          <w:p w14:paraId="6FD2E4F1"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1 000</w:t>
            </w:r>
          </w:p>
        </w:tc>
        <w:tc>
          <w:tcPr>
            <w:tcW w:w="801" w:type="dxa"/>
            <w:shd w:val="clear" w:color="auto" w:fill="F2F7FC"/>
            <w:tcMar>
              <w:left w:w="28" w:type="dxa"/>
              <w:right w:w="28" w:type="dxa"/>
            </w:tcMar>
            <w:vAlign w:val="center"/>
          </w:tcPr>
          <w:p w14:paraId="08A5E492"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2 000</w:t>
            </w:r>
          </w:p>
        </w:tc>
        <w:tc>
          <w:tcPr>
            <w:tcW w:w="595" w:type="dxa"/>
            <w:shd w:val="clear" w:color="auto" w:fill="F2F7FC"/>
            <w:tcMar>
              <w:left w:w="28" w:type="dxa"/>
              <w:right w:w="28" w:type="dxa"/>
            </w:tcMar>
            <w:vAlign w:val="center"/>
          </w:tcPr>
          <w:p w14:paraId="5F3E619F"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21 000</w:t>
            </w:r>
          </w:p>
        </w:tc>
        <w:tc>
          <w:tcPr>
            <w:tcW w:w="708" w:type="dxa"/>
            <w:shd w:val="clear" w:color="auto" w:fill="F2F7FC"/>
            <w:tcMar>
              <w:left w:w="28" w:type="dxa"/>
              <w:right w:w="28" w:type="dxa"/>
            </w:tcMar>
            <w:vAlign w:val="center"/>
          </w:tcPr>
          <w:p w14:paraId="7733ED85"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9 050</w:t>
            </w:r>
          </w:p>
        </w:tc>
        <w:tc>
          <w:tcPr>
            <w:tcW w:w="608" w:type="dxa"/>
            <w:shd w:val="clear" w:color="auto" w:fill="F2F7FC"/>
            <w:tcMar>
              <w:left w:w="28" w:type="dxa"/>
              <w:right w:w="28" w:type="dxa"/>
            </w:tcMar>
            <w:vAlign w:val="center"/>
          </w:tcPr>
          <w:p w14:paraId="1E2C0293"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43,1 %</w:t>
            </w:r>
          </w:p>
        </w:tc>
      </w:tr>
      <w:tr w:rsidR="00FC64C5" w:rsidRPr="008A401B" w14:paraId="601DAD9F" w14:textId="77777777" w:rsidTr="00F3373E">
        <w:tc>
          <w:tcPr>
            <w:tcW w:w="838" w:type="dxa"/>
            <w:vMerge w:val="restart"/>
            <w:shd w:val="clear" w:color="auto" w:fill="9FB7E1"/>
            <w:tcMar>
              <w:left w:w="28" w:type="dxa"/>
              <w:right w:w="28" w:type="dxa"/>
            </w:tcMar>
            <w:vAlign w:val="center"/>
          </w:tcPr>
          <w:p w14:paraId="4F0A3863" w14:textId="77777777" w:rsidR="00FC64C5" w:rsidRPr="008A401B" w:rsidRDefault="00FC64C5" w:rsidP="00F3373E">
            <w:pPr>
              <w:jc w:val="center"/>
              <w:rPr>
                <w:rFonts w:ascii="Calibri" w:eastAsia="Calibri" w:hAnsi="Calibri" w:cs="Times New Roman"/>
                <w:b/>
                <w:bCs/>
                <w:sz w:val="16"/>
                <w:szCs w:val="16"/>
              </w:rPr>
            </w:pPr>
            <w:r w:rsidRPr="008A401B">
              <w:rPr>
                <w:rFonts w:ascii="Calibri" w:eastAsia="Calibri" w:hAnsi="Calibri" w:cs="Times New Roman"/>
                <w:b/>
                <w:bCs/>
                <w:sz w:val="16"/>
                <w:szCs w:val="16"/>
              </w:rPr>
              <w:t>038</w:t>
            </w:r>
          </w:p>
          <w:p w14:paraId="562205B4" w14:textId="77777777" w:rsidR="00FC64C5" w:rsidRPr="008A401B" w:rsidRDefault="00FC64C5" w:rsidP="00F3373E">
            <w:pPr>
              <w:jc w:val="center"/>
              <w:rPr>
                <w:rFonts w:ascii="Calibri" w:eastAsia="Calibri" w:hAnsi="Calibri" w:cs="Times New Roman"/>
                <w:b/>
                <w:bCs/>
                <w:sz w:val="16"/>
                <w:szCs w:val="16"/>
              </w:rPr>
            </w:pPr>
          </w:p>
        </w:tc>
        <w:tc>
          <w:tcPr>
            <w:tcW w:w="782" w:type="dxa"/>
            <w:shd w:val="clear" w:color="auto" w:fill="9FB7E1"/>
            <w:tcMar>
              <w:left w:w="28" w:type="dxa"/>
              <w:right w:w="28" w:type="dxa"/>
            </w:tcMar>
            <w:vAlign w:val="center"/>
          </w:tcPr>
          <w:p w14:paraId="7241BF20" w14:textId="77777777" w:rsidR="00FC64C5" w:rsidRPr="008A401B" w:rsidRDefault="00FC64C5" w:rsidP="00F3373E">
            <w:pPr>
              <w:jc w:val="center"/>
              <w:rPr>
                <w:rFonts w:ascii="Calibri" w:eastAsia="Calibri" w:hAnsi="Calibri" w:cs="Times New Roman"/>
                <w:sz w:val="16"/>
                <w:szCs w:val="16"/>
              </w:rPr>
            </w:pPr>
          </w:p>
        </w:tc>
        <w:tc>
          <w:tcPr>
            <w:tcW w:w="767" w:type="dxa"/>
            <w:shd w:val="clear" w:color="auto" w:fill="9FB7E1"/>
            <w:tcMar>
              <w:left w:w="28" w:type="dxa"/>
              <w:right w:w="28" w:type="dxa"/>
            </w:tcMar>
            <w:vAlign w:val="center"/>
          </w:tcPr>
          <w:p w14:paraId="5F4E2EAD" w14:textId="77777777" w:rsidR="00FC64C5" w:rsidRPr="008A401B" w:rsidRDefault="00FC64C5" w:rsidP="00F3373E">
            <w:pPr>
              <w:jc w:val="center"/>
              <w:rPr>
                <w:rFonts w:ascii="Calibri" w:eastAsia="Calibri" w:hAnsi="Calibri" w:cs="Times New Roman"/>
                <w:b/>
                <w:bCs/>
                <w:sz w:val="16"/>
                <w:szCs w:val="16"/>
              </w:rPr>
            </w:pPr>
            <w:r w:rsidRPr="008A401B">
              <w:rPr>
                <w:rFonts w:ascii="Calibri" w:eastAsia="Calibri" w:hAnsi="Calibri" w:cs="Times New Roman"/>
                <w:b/>
                <w:bCs/>
                <w:sz w:val="16"/>
                <w:szCs w:val="16"/>
              </w:rPr>
              <w:t>MERSE</w:t>
            </w:r>
          </w:p>
        </w:tc>
        <w:tc>
          <w:tcPr>
            <w:tcW w:w="2286" w:type="dxa"/>
            <w:gridSpan w:val="2"/>
            <w:shd w:val="clear" w:color="auto" w:fill="9FB7E1"/>
            <w:tcMar>
              <w:left w:w="28" w:type="dxa"/>
              <w:right w:w="28" w:type="dxa"/>
            </w:tcMar>
            <w:vAlign w:val="center"/>
          </w:tcPr>
          <w:p w14:paraId="55618D05" w14:textId="77777777" w:rsidR="00FC64C5" w:rsidRPr="008A401B" w:rsidRDefault="00FC64C5" w:rsidP="00F3373E">
            <w:pPr>
              <w:rPr>
                <w:rFonts w:ascii="Calibri" w:eastAsia="Calibri" w:hAnsi="Calibri" w:cs="Times New Roman"/>
                <w:b/>
                <w:bCs/>
                <w:sz w:val="16"/>
                <w:szCs w:val="16"/>
              </w:rPr>
            </w:pPr>
            <w:r w:rsidRPr="008A401B">
              <w:rPr>
                <w:rFonts w:ascii="Calibri" w:eastAsia="Calibri" w:hAnsi="Calibri" w:cs="Times New Roman"/>
                <w:b/>
                <w:bCs/>
                <w:sz w:val="16"/>
                <w:szCs w:val="16"/>
              </w:rPr>
              <w:t>Programme 038 – Promotion de l’enseignement de base</w:t>
            </w:r>
          </w:p>
        </w:tc>
        <w:tc>
          <w:tcPr>
            <w:tcW w:w="744" w:type="dxa"/>
            <w:shd w:val="clear" w:color="auto" w:fill="9FB7E1"/>
            <w:tcMar>
              <w:left w:w="28" w:type="dxa"/>
              <w:right w:w="28" w:type="dxa"/>
            </w:tcMar>
            <w:vAlign w:val="center"/>
          </w:tcPr>
          <w:p w14:paraId="1A6BE16B"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6 000</w:t>
            </w:r>
          </w:p>
        </w:tc>
        <w:tc>
          <w:tcPr>
            <w:tcW w:w="672" w:type="dxa"/>
            <w:shd w:val="clear" w:color="auto" w:fill="9FB7E1"/>
            <w:tcMar>
              <w:left w:w="28" w:type="dxa"/>
              <w:right w:w="28" w:type="dxa"/>
            </w:tcMar>
            <w:vAlign w:val="center"/>
          </w:tcPr>
          <w:p w14:paraId="37B38F3A"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4 000</w:t>
            </w:r>
          </w:p>
        </w:tc>
        <w:tc>
          <w:tcPr>
            <w:tcW w:w="865" w:type="dxa"/>
            <w:shd w:val="clear" w:color="auto" w:fill="9FB7E1"/>
            <w:tcMar>
              <w:left w:w="28" w:type="dxa"/>
              <w:right w:w="28" w:type="dxa"/>
            </w:tcMar>
            <w:vAlign w:val="center"/>
          </w:tcPr>
          <w:p w14:paraId="7E8A773D"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3 000</w:t>
            </w:r>
          </w:p>
        </w:tc>
        <w:tc>
          <w:tcPr>
            <w:tcW w:w="1124" w:type="dxa"/>
            <w:shd w:val="clear" w:color="auto" w:fill="9FB7E1"/>
            <w:tcMar>
              <w:left w:w="28" w:type="dxa"/>
              <w:right w:w="28" w:type="dxa"/>
            </w:tcMar>
            <w:vAlign w:val="center"/>
          </w:tcPr>
          <w:p w14:paraId="210D50D4"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4 000</w:t>
            </w:r>
          </w:p>
        </w:tc>
        <w:tc>
          <w:tcPr>
            <w:tcW w:w="801" w:type="dxa"/>
            <w:shd w:val="clear" w:color="auto" w:fill="9FB7E1"/>
            <w:tcMar>
              <w:left w:w="28" w:type="dxa"/>
              <w:right w:w="28" w:type="dxa"/>
            </w:tcMar>
            <w:vAlign w:val="center"/>
          </w:tcPr>
          <w:p w14:paraId="16E29DA0"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3 000</w:t>
            </w:r>
          </w:p>
        </w:tc>
        <w:tc>
          <w:tcPr>
            <w:tcW w:w="595" w:type="dxa"/>
            <w:shd w:val="clear" w:color="auto" w:fill="9FB7E1"/>
            <w:tcMar>
              <w:left w:w="28" w:type="dxa"/>
              <w:right w:w="28" w:type="dxa"/>
            </w:tcMar>
            <w:vAlign w:val="center"/>
          </w:tcPr>
          <w:p w14:paraId="0EC5B6FB"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20 000</w:t>
            </w:r>
          </w:p>
        </w:tc>
        <w:tc>
          <w:tcPr>
            <w:tcW w:w="708" w:type="dxa"/>
            <w:shd w:val="clear" w:color="auto" w:fill="9FB7E1"/>
            <w:tcMar>
              <w:left w:w="28" w:type="dxa"/>
              <w:right w:w="28" w:type="dxa"/>
            </w:tcMar>
            <w:vAlign w:val="center"/>
          </w:tcPr>
          <w:p w14:paraId="520962F8"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3 000</w:t>
            </w:r>
          </w:p>
        </w:tc>
        <w:tc>
          <w:tcPr>
            <w:tcW w:w="608" w:type="dxa"/>
            <w:shd w:val="clear" w:color="auto" w:fill="9FB7E1"/>
            <w:tcMar>
              <w:left w:w="28" w:type="dxa"/>
              <w:right w:w="28" w:type="dxa"/>
            </w:tcMar>
            <w:vAlign w:val="center"/>
          </w:tcPr>
          <w:p w14:paraId="4D26AF3E"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15,0%</w:t>
            </w:r>
          </w:p>
        </w:tc>
      </w:tr>
      <w:tr w:rsidR="00FC64C5" w:rsidRPr="008A401B" w14:paraId="04C61F8A" w14:textId="77777777" w:rsidTr="00F3373E">
        <w:tc>
          <w:tcPr>
            <w:tcW w:w="838" w:type="dxa"/>
            <w:vMerge/>
            <w:shd w:val="clear" w:color="auto" w:fill="9FB7E1"/>
            <w:tcMar>
              <w:left w:w="28" w:type="dxa"/>
              <w:right w:w="28" w:type="dxa"/>
            </w:tcMar>
            <w:vAlign w:val="center"/>
          </w:tcPr>
          <w:p w14:paraId="6D9A8D44" w14:textId="77777777" w:rsidR="00FC64C5" w:rsidRPr="008A401B" w:rsidRDefault="00FC64C5" w:rsidP="00F3373E">
            <w:pPr>
              <w:jc w:val="center"/>
              <w:rPr>
                <w:rFonts w:ascii="Calibri" w:eastAsia="Calibri" w:hAnsi="Calibri" w:cs="Times New Roman"/>
                <w:b/>
                <w:bCs/>
                <w:sz w:val="16"/>
                <w:szCs w:val="16"/>
              </w:rPr>
            </w:pPr>
          </w:p>
        </w:tc>
        <w:tc>
          <w:tcPr>
            <w:tcW w:w="782" w:type="dxa"/>
            <w:shd w:val="clear" w:color="auto" w:fill="F2F7FC"/>
            <w:tcMar>
              <w:left w:w="28" w:type="dxa"/>
              <w:right w:w="28" w:type="dxa"/>
            </w:tcMar>
            <w:vAlign w:val="center"/>
          </w:tcPr>
          <w:p w14:paraId="5D2A681B"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01</w:t>
            </w:r>
          </w:p>
        </w:tc>
        <w:tc>
          <w:tcPr>
            <w:tcW w:w="767" w:type="dxa"/>
            <w:shd w:val="clear" w:color="auto" w:fill="F2F7FC"/>
            <w:tcMar>
              <w:left w:w="28" w:type="dxa"/>
              <w:right w:w="28" w:type="dxa"/>
            </w:tcMar>
            <w:vAlign w:val="center"/>
          </w:tcPr>
          <w:p w14:paraId="3EE8BE22"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DGE</w:t>
            </w:r>
          </w:p>
        </w:tc>
        <w:tc>
          <w:tcPr>
            <w:tcW w:w="1631" w:type="dxa"/>
            <w:shd w:val="clear" w:color="auto" w:fill="F2F7FC"/>
            <w:tcMar>
              <w:left w:w="28" w:type="dxa"/>
              <w:right w:w="28" w:type="dxa"/>
            </w:tcMar>
            <w:vAlign w:val="center"/>
          </w:tcPr>
          <w:p w14:paraId="01D2EE87" w14:textId="77777777" w:rsidR="00FC64C5" w:rsidRPr="008A401B" w:rsidRDefault="00FC64C5" w:rsidP="00F3373E">
            <w:pPr>
              <w:rPr>
                <w:rFonts w:ascii="Calibri" w:eastAsia="Calibri" w:hAnsi="Calibri" w:cs="Times New Roman"/>
                <w:sz w:val="16"/>
                <w:szCs w:val="16"/>
              </w:rPr>
            </w:pPr>
            <w:r w:rsidRPr="008A401B">
              <w:rPr>
                <w:rFonts w:ascii="Calibri" w:eastAsia="Calibri" w:hAnsi="Calibri" w:cs="Times New Roman"/>
                <w:sz w:val="16"/>
                <w:szCs w:val="16"/>
              </w:rPr>
              <w:t>Action 01 – Éducation de base</w:t>
            </w:r>
          </w:p>
        </w:tc>
        <w:tc>
          <w:tcPr>
            <w:tcW w:w="655" w:type="dxa"/>
            <w:shd w:val="clear" w:color="auto" w:fill="F2F7FC"/>
            <w:tcMar>
              <w:left w:w="28" w:type="dxa"/>
              <w:right w:w="28" w:type="dxa"/>
            </w:tcMar>
            <w:vAlign w:val="center"/>
          </w:tcPr>
          <w:p w14:paraId="14157229"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ILD 5</w:t>
            </w:r>
          </w:p>
        </w:tc>
        <w:tc>
          <w:tcPr>
            <w:tcW w:w="744" w:type="dxa"/>
            <w:shd w:val="clear" w:color="auto" w:fill="F2F7FC"/>
            <w:tcMar>
              <w:left w:w="28" w:type="dxa"/>
              <w:right w:w="28" w:type="dxa"/>
            </w:tcMar>
            <w:vAlign w:val="center"/>
          </w:tcPr>
          <w:p w14:paraId="15C93C75"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6 000</w:t>
            </w:r>
          </w:p>
        </w:tc>
        <w:tc>
          <w:tcPr>
            <w:tcW w:w="672" w:type="dxa"/>
            <w:shd w:val="clear" w:color="auto" w:fill="F2F7FC"/>
            <w:tcMar>
              <w:left w:w="28" w:type="dxa"/>
              <w:right w:w="28" w:type="dxa"/>
            </w:tcMar>
            <w:vAlign w:val="center"/>
          </w:tcPr>
          <w:p w14:paraId="64210967"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4 000</w:t>
            </w:r>
          </w:p>
        </w:tc>
        <w:tc>
          <w:tcPr>
            <w:tcW w:w="865" w:type="dxa"/>
            <w:shd w:val="clear" w:color="auto" w:fill="F2F7FC"/>
            <w:tcMar>
              <w:left w:w="28" w:type="dxa"/>
              <w:right w:w="28" w:type="dxa"/>
            </w:tcMar>
            <w:vAlign w:val="center"/>
          </w:tcPr>
          <w:p w14:paraId="62729765"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3 000</w:t>
            </w:r>
          </w:p>
        </w:tc>
        <w:tc>
          <w:tcPr>
            <w:tcW w:w="1124" w:type="dxa"/>
            <w:shd w:val="clear" w:color="auto" w:fill="F2F7FC"/>
            <w:tcMar>
              <w:left w:w="28" w:type="dxa"/>
              <w:right w:w="28" w:type="dxa"/>
            </w:tcMar>
            <w:vAlign w:val="center"/>
          </w:tcPr>
          <w:p w14:paraId="6126FBDE"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4 000</w:t>
            </w:r>
          </w:p>
        </w:tc>
        <w:tc>
          <w:tcPr>
            <w:tcW w:w="801" w:type="dxa"/>
            <w:shd w:val="clear" w:color="auto" w:fill="F2F7FC"/>
            <w:tcMar>
              <w:left w:w="28" w:type="dxa"/>
              <w:right w:w="28" w:type="dxa"/>
            </w:tcMar>
            <w:vAlign w:val="center"/>
          </w:tcPr>
          <w:p w14:paraId="2F996F5B"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3 000</w:t>
            </w:r>
          </w:p>
        </w:tc>
        <w:tc>
          <w:tcPr>
            <w:tcW w:w="595" w:type="dxa"/>
            <w:shd w:val="clear" w:color="auto" w:fill="F2F7FC"/>
            <w:tcMar>
              <w:left w:w="28" w:type="dxa"/>
              <w:right w:w="28" w:type="dxa"/>
            </w:tcMar>
            <w:vAlign w:val="center"/>
          </w:tcPr>
          <w:p w14:paraId="2C51CBA1"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20 000</w:t>
            </w:r>
          </w:p>
        </w:tc>
        <w:tc>
          <w:tcPr>
            <w:tcW w:w="708" w:type="dxa"/>
            <w:shd w:val="clear" w:color="auto" w:fill="F2F7FC"/>
            <w:tcMar>
              <w:left w:w="28" w:type="dxa"/>
              <w:right w:w="28" w:type="dxa"/>
            </w:tcMar>
            <w:vAlign w:val="center"/>
          </w:tcPr>
          <w:p w14:paraId="58FDA399"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3 000</w:t>
            </w:r>
          </w:p>
        </w:tc>
        <w:tc>
          <w:tcPr>
            <w:tcW w:w="608" w:type="dxa"/>
            <w:shd w:val="clear" w:color="auto" w:fill="F2F7FC"/>
            <w:tcMar>
              <w:left w:w="28" w:type="dxa"/>
              <w:right w:w="28" w:type="dxa"/>
            </w:tcMar>
            <w:vAlign w:val="center"/>
          </w:tcPr>
          <w:p w14:paraId="157A02B2"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15,0 %</w:t>
            </w:r>
          </w:p>
        </w:tc>
      </w:tr>
      <w:tr w:rsidR="00FC64C5" w:rsidRPr="008A401B" w14:paraId="2FAB4A00" w14:textId="77777777" w:rsidTr="00F3373E">
        <w:tc>
          <w:tcPr>
            <w:tcW w:w="838" w:type="dxa"/>
            <w:vMerge w:val="restart"/>
            <w:shd w:val="clear" w:color="auto" w:fill="9FB7E1"/>
            <w:tcMar>
              <w:left w:w="28" w:type="dxa"/>
              <w:right w:w="28" w:type="dxa"/>
            </w:tcMar>
            <w:vAlign w:val="center"/>
          </w:tcPr>
          <w:p w14:paraId="3FB49F70" w14:textId="77777777" w:rsidR="00FC64C5" w:rsidRPr="008A401B" w:rsidRDefault="00FC64C5" w:rsidP="00F3373E">
            <w:pPr>
              <w:jc w:val="center"/>
              <w:rPr>
                <w:rFonts w:ascii="Calibri" w:eastAsia="Calibri" w:hAnsi="Calibri" w:cs="Times New Roman"/>
                <w:b/>
                <w:bCs/>
                <w:sz w:val="16"/>
                <w:szCs w:val="16"/>
              </w:rPr>
            </w:pPr>
            <w:r w:rsidRPr="008A401B">
              <w:rPr>
                <w:rFonts w:ascii="Calibri" w:eastAsia="Calibri" w:hAnsi="Calibri" w:cs="Times New Roman"/>
                <w:b/>
                <w:bCs/>
                <w:sz w:val="16"/>
                <w:szCs w:val="16"/>
              </w:rPr>
              <w:t>037</w:t>
            </w:r>
          </w:p>
        </w:tc>
        <w:tc>
          <w:tcPr>
            <w:tcW w:w="782" w:type="dxa"/>
            <w:shd w:val="clear" w:color="auto" w:fill="9FB7E1"/>
            <w:tcMar>
              <w:left w:w="28" w:type="dxa"/>
              <w:right w:w="28" w:type="dxa"/>
            </w:tcMar>
            <w:vAlign w:val="center"/>
          </w:tcPr>
          <w:p w14:paraId="0F556F45" w14:textId="77777777" w:rsidR="00FC64C5" w:rsidRPr="008A401B" w:rsidRDefault="00FC64C5" w:rsidP="00F3373E">
            <w:pPr>
              <w:jc w:val="center"/>
              <w:rPr>
                <w:rFonts w:ascii="Calibri" w:eastAsia="Calibri" w:hAnsi="Calibri" w:cs="Times New Roman"/>
                <w:sz w:val="16"/>
                <w:szCs w:val="16"/>
              </w:rPr>
            </w:pPr>
          </w:p>
        </w:tc>
        <w:tc>
          <w:tcPr>
            <w:tcW w:w="767" w:type="dxa"/>
            <w:shd w:val="clear" w:color="auto" w:fill="9FB7E1"/>
            <w:tcMar>
              <w:left w:w="28" w:type="dxa"/>
              <w:right w:w="28" w:type="dxa"/>
            </w:tcMar>
            <w:vAlign w:val="center"/>
          </w:tcPr>
          <w:p w14:paraId="5B9A6CE7" w14:textId="77777777" w:rsidR="00FC64C5" w:rsidRPr="008A401B" w:rsidRDefault="00FC64C5" w:rsidP="00F3373E">
            <w:pPr>
              <w:jc w:val="center"/>
              <w:rPr>
                <w:rFonts w:ascii="Calibri" w:eastAsia="Calibri" w:hAnsi="Calibri" w:cs="Times New Roman"/>
                <w:b/>
                <w:bCs/>
                <w:sz w:val="16"/>
                <w:szCs w:val="16"/>
              </w:rPr>
            </w:pPr>
            <w:r w:rsidRPr="008A401B">
              <w:rPr>
                <w:rFonts w:ascii="Calibri" w:eastAsia="Calibri" w:hAnsi="Calibri" w:cs="Times New Roman"/>
                <w:b/>
                <w:bCs/>
                <w:sz w:val="16"/>
                <w:szCs w:val="16"/>
              </w:rPr>
              <w:t>MERSE</w:t>
            </w:r>
          </w:p>
        </w:tc>
        <w:tc>
          <w:tcPr>
            <w:tcW w:w="2286" w:type="dxa"/>
            <w:gridSpan w:val="2"/>
            <w:shd w:val="clear" w:color="auto" w:fill="9FB7E1"/>
            <w:tcMar>
              <w:left w:w="28" w:type="dxa"/>
              <w:right w:w="28" w:type="dxa"/>
            </w:tcMar>
            <w:vAlign w:val="center"/>
          </w:tcPr>
          <w:p w14:paraId="4E50B4A8" w14:textId="77777777" w:rsidR="00FC64C5" w:rsidRPr="008A401B" w:rsidRDefault="00FC64C5" w:rsidP="00F3373E">
            <w:pPr>
              <w:rPr>
                <w:rFonts w:ascii="Calibri" w:eastAsia="Calibri" w:hAnsi="Calibri" w:cs="Times New Roman"/>
                <w:b/>
                <w:bCs/>
                <w:sz w:val="16"/>
                <w:szCs w:val="16"/>
              </w:rPr>
            </w:pPr>
            <w:r w:rsidRPr="008A401B">
              <w:rPr>
                <w:rFonts w:ascii="Calibri" w:eastAsia="Calibri" w:hAnsi="Calibri" w:cs="Times New Roman"/>
                <w:b/>
                <w:bCs/>
                <w:sz w:val="16"/>
                <w:szCs w:val="16"/>
              </w:rPr>
              <w:t>Programme 037 – Appui</w:t>
            </w:r>
          </w:p>
        </w:tc>
        <w:tc>
          <w:tcPr>
            <w:tcW w:w="744" w:type="dxa"/>
            <w:shd w:val="clear" w:color="auto" w:fill="9FB7E1"/>
            <w:tcMar>
              <w:left w:w="28" w:type="dxa"/>
              <w:right w:w="28" w:type="dxa"/>
            </w:tcMar>
            <w:vAlign w:val="center"/>
          </w:tcPr>
          <w:p w14:paraId="092F699A" w14:textId="77777777" w:rsidR="00FC64C5" w:rsidRPr="008A401B" w:rsidRDefault="00FC64C5" w:rsidP="00F3373E">
            <w:pPr>
              <w:jc w:val="both"/>
              <w:rPr>
                <w:rFonts w:ascii="Calibri" w:eastAsia="Calibri" w:hAnsi="Calibri" w:cs="Times New Roman"/>
                <w:sz w:val="16"/>
                <w:szCs w:val="16"/>
              </w:rPr>
            </w:pPr>
            <w:r w:rsidRPr="008A401B">
              <w:rPr>
                <w:rFonts w:ascii="Calibri" w:eastAsia="Calibri" w:hAnsi="Calibri" w:cs="Times New Roman"/>
                <w:sz w:val="16"/>
                <w:szCs w:val="16"/>
              </w:rPr>
              <w:t>8 000</w:t>
            </w:r>
          </w:p>
        </w:tc>
        <w:tc>
          <w:tcPr>
            <w:tcW w:w="672" w:type="dxa"/>
            <w:shd w:val="clear" w:color="auto" w:fill="9FB7E1"/>
            <w:tcMar>
              <w:left w:w="28" w:type="dxa"/>
              <w:right w:w="28" w:type="dxa"/>
            </w:tcMar>
            <w:vAlign w:val="center"/>
          </w:tcPr>
          <w:p w14:paraId="7AF2E0E1"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6 000</w:t>
            </w:r>
          </w:p>
        </w:tc>
        <w:tc>
          <w:tcPr>
            <w:tcW w:w="865" w:type="dxa"/>
            <w:shd w:val="clear" w:color="auto" w:fill="9FB7E1"/>
            <w:tcMar>
              <w:left w:w="28" w:type="dxa"/>
              <w:right w:w="28" w:type="dxa"/>
            </w:tcMar>
            <w:vAlign w:val="center"/>
          </w:tcPr>
          <w:p w14:paraId="52AA10D2"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8 000</w:t>
            </w:r>
          </w:p>
        </w:tc>
        <w:tc>
          <w:tcPr>
            <w:tcW w:w="1124" w:type="dxa"/>
            <w:shd w:val="clear" w:color="auto" w:fill="9FB7E1"/>
            <w:tcMar>
              <w:left w:w="28" w:type="dxa"/>
              <w:right w:w="28" w:type="dxa"/>
            </w:tcMar>
            <w:vAlign w:val="center"/>
          </w:tcPr>
          <w:p w14:paraId="61543682"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12 000</w:t>
            </w:r>
          </w:p>
        </w:tc>
        <w:tc>
          <w:tcPr>
            <w:tcW w:w="801" w:type="dxa"/>
            <w:shd w:val="clear" w:color="auto" w:fill="9FB7E1"/>
            <w:tcMar>
              <w:left w:w="28" w:type="dxa"/>
              <w:right w:w="28" w:type="dxa"/>
            </w:tcMar>
            <w:vAlign w:val="center"/>
          </w:tcPr>
          <w:p w14:paraId="76BBFA7B"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4 000</w:t>
            </w:r>
          </w:p>
        </w:tc>
        <w:tc>
          <w:tcPr>
            <w:tcW w:w="595" w:type="dxa"/>
            <w:shd w:val="clear" w:color="auto" w:fill="9FB7E1"/>
            <w:tcMar>
              <w:left w:w="28" w:type="dxa"/>
              <w:right w:w="28" w:type="dxa"/>
            </w:tcMar>
            <w:vAlign w:val="center"/>
          </w:tcPr>
          <w:p w14:paraId="2485380C"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38 000</w:t>
            </w:r>
          </w:p>
        </w:tc>
        <w:tc>
          <w:tcPr>
            <w:tcW w:w="708" w:type="dxa"/>
            <w:shd w:val="clear" w:color="auto" w:fill="9FB7E1"/>
            <w:tcMar>
              <w:left w:w="28" w:type="dxa"/>
              <w:right w:w="28" w:type="dxa"/>
            </w:tcMar>
            <w:vAlign w:val="center"/>
          </w:tcPr>
          <w:p w14:paraId="25C3E579"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15 700</w:t>
            </w:r>
          </w:p>
        </w:tc>
        <w:tc>
          <w:tcPr>
            <w:tcW w:w="608" w:type="dxa"/>
            <w:shd w:val="clear" w:color="auto" w:fill="9FB7E1"/>
            <w:tcMar>
              <w:left w:w="28" w:type="dxa"/>
              <w:right w:w="28" w:type="dxa"/>
            </w:tcMar>
            <w:vAlign w:val="center"/>
          </w:tcPr>
          <w:p w14:paraId="674726E0"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41,3 %</w:t>
            </w:r>
          </w:p>
        </w:tc>
      </w:tr>
      <w:tr w:rsidR="00FC64C5" w:rsidRPr="008A401B" w14:paraId="3BDE90A2" w14:textId="77777777" w:rsidTr="00F3373E">
        <w:tc>
          <w:tcPr>
            <w:tcW w:w="838" w:type="dxa"/>
            <w:vMerge/>
            <w:shd w:val="clear" w:color="auto" w:fill="9FB7E1"/>
            <w:tcMar>
              <w:left w:w="28" w:type="dxa"/>
              <w:right w:w="28" w:type="dxa"/>
            </w:tcMar>
            <w:vAlign w:val="center"/>
          </w:tcPr>
          <w:p w14:paraId="5942A7AF" w14:textId="77777777" w:rsidR="00FC64C5" w:rsidRPr="008A401B" w:rsidRDefault="00FC64C5" w:rsidP="00F3373E">
            <w:pPr>
              <w:jc w:val="center"/>
              <w:rPr>
                <w:rFonts w:ascii="Calibri" w:eastAsia="Calibri" w:hAnsi="Calibri" w:cs="Times New Roman"/>
                <w:sz w:val="16"/>
                <w:szCs w:val="16"/>
              </w:rPr>
            </w:pPr>
          </w:p>
        </w:tc>
        <w:tc>
          <w:tcPr>
            <w:tcW w:w="782" w:type="dxa"/>
            <w:shd w:val="clear" w:color="auto" w:fill="F2F7FC"/>
            <w:tcMar>
              <w:left w:w="28" w:type="dxa"/>
              <w:right w:w="28" w:type="dxa"/>
            </w:tcMar>
            <w:vAlign w:val="center"/>
          </w:tcPr>
          <w:p w14:paraId="6D27BB90"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01</w:t>
            </w:r>
          </w:p>
        </w:tc>
        <w:tc>
          <w:tcPr>
            <w:tcW w:w="767" w:type="dxa"/>
            <w:shd w:val="clear" w:color="auto" w:fill="F2F7FC"/>
            <w:tcMar>
              <w:left w:w="28" w:type="dxa"/>
              <w:right w:w="28" w:type="dxa"/>
            </w:tcMar>
            <w:vAlign w:val="center"/>
          </w:tcPr>
          <w:p w14:paraId="28537F19"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DGR</w:t>
            </w:r>
          </w:p>
        </w:tc>
        <w:tc>
          <w:tcPr>
            <w:tcW w:w="1631" w:type="dxa"/>
            <w:shd w:val="clear" w:color="auto" w:fill="F2F7FC"/>
            <w:tcMar>
              <w:left w:w="28" w:type="dxa"/>
              <w:right w:w="28" w:type="dxa"/>
            </w:tcMar>
            <w:vAlign w:val="center"/>
          </w:tcPr>
          <w:p w14:paraId="263F9842" w14:textId="77777777" w:rsidR="00FC64C5" w:rsidRPr="008A401B" w:rsidRDefault="00FC64C5" w:rsidP="00F3373E">
            <w:pPr>
              <w:rPr>
                <w:rFonts w:ascii="Calibri" w:eastAsia="Calibri" w:hAnsi="Calibri" w:cs="Times New Roman"/>
                <w:sz w:val="16"/>
                <w:szCs w:val="16"/>
              </w:rPr>
            </w:pPr>
            <w:r w:rsidRPr="008A401B">
              <w:rPr>
                <w:rFonts w:ascii="Calibri" w:eastAsia="Calibri" w:hAnsi="Calibri" w:cs="Times New Roman"/>
                <w:sz w:val="16"/>
                <w:szCs w:val="16"/>
              </w:rPr>
              <w:t>Action 01 – Pilotage, coordination et gestion administrative</w:t>
            </w:r>
          </w:p>
        </w:tc>
        <w:tc>
          <w:tcPr>
            <w:tcW w:w="655" w:type="dxa"/>
            <w:shd w:val="clear" w:color="auto" w:fill="F2F7FC"/>
            <w:tcMar>
              <w:left w:w="28" w:type="dxa"/>
              <w:right w:w="28" w:type="dxa"/>
            </w:tcMar>
            <w:vAlign w:val="center"/>
          </w:tcPr>
          <w:p w14:paraId="70C0DBF6" w14:textId="77777777" w:rsidR="00FC64C5" w:rsidRPr="008A401B" w:rsidRDefault="00FC64C5" w:rsidP="00F3373E">
            <w:pPr>
              <w:jc w:val="center"/>
              <w:rPr>
                <w:rFonts w:ascii="Calibri" w:eastAsia="Calibri" w:hAnsi="Calibri" w:cs="Times New Roman"/>
                <w:sz w:val="16"/>
                <w:szCs w:val="16"/>
              </w:rPr>
            </w:pPr>
            <w:r w:rsidRPr="008A401B">
              <w:rPr>
                <w:rFonts w:ascii="Calibri" w:eastAsia="Calibri" w:hAnsi="Calibri" w:cs="Times New Roman"/>
                <w:sz w:val="16"/>
                <w:szCs w:val="16"/>
              </w:rPr>
              <w:t>ILD 2, 3 et 7</w:t>
            </w:r>
          </w:p>
        </w:tc>
        <w:tc>
          <w:tcPr>
            <w:tcW w:w="744" w:type="dxa"/>
            <w:shd w:val="clear" w:color="auto" w:fill="F2F7FC"/>
            <w:tcMar>
              <w:left w:w="28" w:type="dxa"/>
              <w:right w:w="28" w:type="dxa"/>
            </w:tcMar>
            <w:vAlign w:val="center"/>
          </w:tcPr>
          <w:p w14:paraId="31C37137" w14:textId="77777777" w:rsidR="00FC64C5" w:rsidRPr="008A401B" w:rsidRDefault="00FC64C5" w:rsidP="00F3373E">
            <w:pPr>
              <w:jc w:val="both"/>
              <w:rPr>
                <w:rFonts w:ascii="Calibri" w:eastAsia="Calibri" w:hAnsi="Calibri" w:cs="Times New Roman"/>
                <w:sz w:val="16"/>
                <w:szCs w:val="16"/>
              </w:rPr>
            </w:pPr>
            <w:r w:rsidRPr="008A401B">
              <w:rPr>
                <w:rFonts w:ascii="Calibri" w:eastAsia="Calibri" w:hAnsi="Calibri" w:cs="Times New Roman"/>
                <w:sz w:val="16"/>
                <w:szCs w:val="16"/>
              </w:rPr>
              <w:t>8 000</w:t>
            </w:r>
          </w:p>
        </w:tc>
        <w:tc>
          <w:tcPr>
            <w:tcW w:w="672" w:type="dxa"/>
            <w:shd w:val="clear" w:color="auto" w:fill="F2F7FC"/>
            <w:tcMar>
              <w:left w:w="28" w:type="dxa"/>
              <w:right w:w="28" w:type="dxa"/>
            </w:tcMar>
            <w:vAlign w:val="center"/>
          </w:tcPr>
          <w:p w14:paraId="31DB26C5"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6 000</w:t>
            </w:r>
          </w:p>
        </w:tc>
        <w:tc>
          <w:tcPr>
            <w:tcW w:w="865" w:type="dxa"/>
            <w:shd w:val="clear" w:color="auto" w:fill="F2F7FC"/>
            <w:tcMar>
              <w:left w:w="28" w:type="dxa"/>
              <w:right w:w="28" w:type="dxa"/>
            </w:tcMar>
            <w:vAlign w:val="center"/>
          </w:tcPr>
          <w:p w14:paraId="3F6B1A99"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8 000</w:t>
            </w:r>
          </w:p>
        </w:tc>
        <w:tc>
          <w:tcPr>
            <w:tcW w:w="1124" w:type="dxa"/>
            <w:shd w:val="clear" w:color="auto" w:fill="F2F7FC"/>
            <w:tcMar>
              <w:left w:w="28" w:type="dxa"/>
              <w:right w:w="28" w:type="dxa"/>
            </w:tcMar>
            <w:vAlign w:val="center"/>
          </w:tcPr>
          <w:p w14:paraId="0AE840EB"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12 000</w:t>
            </w:r>
          </w:p>
        </w:tc>
        <w:tc>
          <w:tcPr>
            <w:tcW w:w="801" w:type="dxa"/>
            <w:shd w:val="clear" w:color="auto" w:fill="F2F7FC"/>
            <w:tcMar>
              <w:left w:w="28" w:type="dxa"/>
              <w:right w:w="28" w:type="dxa"/>
            </w:tcMar>
            <w:vAlign w:val="center"/>
          </w:tcPr>
          <w:p w14:paraId="0B0F28FA"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4 000</w:t>
            </w:r>
          </w:p>
        </w:tc>
        <w:tc>
          <w:tcPr>
            <w:tcW w:w="595" w:type="dxa"/>
            <w:shd w:val="clear" w:color="auto" w:fill="F2F7FC"/>
            <w:tcMar>
              <w:left w:w="28" w:type="dxa"/>
              <w:right w:w="28" w:type="dxa"/>
            </w:tcMar>
            <w:vAlign w:val="center"/>
          </w:tcPr>
          <w:p w14:paraId="5FA3BBBC"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38 000</w:t>
            </w:r>
          </w:p>
        </w:tc>
        <w:tc>
          <w:tcPr>
            <w:tcW w:w="708" w:type="dxa"/>
            <w:shd w:val="clear" w:color="auto" w:fill="F2F7FC"/>
            <w:tcMar>
              <w:left w:w="28" w:type="dxa"/>
              <w:right w:w="28" w:type="dxa"/>
            </w:tcMar>
            <w:vAlign w:val="center"/>
          </w:tcPr>
          <w:p w14:paraId="27660EFD"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15 700</w:t>
            </w:r>
          </w:p>
        </w:tc>
        <w:tc>
          <w:tcPr>
            <w:tcW w:w="608" w:type="dxa"/>
            <w:shd w:val="clear" w:color="auto" w:fill="F2F7FC"/>
            <w:tcMar>
              <w:left w:w="28" w:type="dxa"/>
              <w:right w:w="28" w:type="dxa"/>
            </w:tcMar>
            <w:vAlign w:val="center"/>
          </w:tcPr>
          <w:p w14:paraId="1159C4C6"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41,3 %</w:t>
            </w:r>
          </w:p>
        </w:tc>
      </w:tr>
      <w:tr w:rsidR="00FC64C5" w:rsidRPr="008A401B" w14:paraId="6AD15281" w14:textId="77777777" w:rsidTr="00F3373E">
        <w:tc>
          <w:tcPr>
            <w:tcW w:w="4673" w:type="dxa"/>
            <w:gridSpan w:val="5"/>
            <w:shd w:val="clear" w:color="auto" w:fill="FFF2CC"/>
            <w:tcMar>
              <w:left w:w="28" w:type="dxa"/>
              <w:right w:w="28" w:type="dxa"/>
            </w:tcMar>
          </w:tcPr>
          <w:p w14:paraId="645F733C" w14:textId="77777777" w:rsidR="00FC64C5" w:rsidRPr="008A401B" w:rsidRDefault="00FC64C5" w:rsidP="00F3373E">
            <w:pPr>
              <w:jc w:val="both"/>
              <w:rPr>
                <w:rFonts w:ascii="Calibri" w:eastAsia="Calibri" w:hAnsi="Calibri" w:cs="Times New Roman"/>
                <w:sz w:val="16"/>
                <w:szCs w:val="16"/>
              </w:rPr>
            </w:pPr>
            <w:r w:rsidRPr="008A401B">
              <w:rPr>
                <w:rFonts w:ascii="Calibri" w:eastAsia="Calibri" w:hAnsi="Calibri" w:cs="Times New Roman"/>
                <w:b/>
                <w:bCs/>
                <w:sz w:val="16"/>
                <w:szCs w:val="16"/>
              </w:rPr>
              <w:t>Cadre des dépenses du programme – TOTAL GÉNÉRAL (2026–2030)</w:t>
            </w:r>
          </w:p>
        </w:tc>
        <w:tc>
          <w:tcPr>
            <w:tcW w:w="744" w:type="dxa"/>
            <w:shd w:val="clear" w:color="auto" w:fill="FFF2CC"/>
            <w:tcMar>
              <w:left w:w="28" w:type="dxa"/>
              <w:right w:w="28" w:type="dxa"/>
            </w:tcMar>
            <w:vAlign w:val="center"/>
          </w:tcPr>
          <w:p w14:paraId="3CD4C393"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34 500</w:t>
            </w:r>
          </w:p>
        </w:tc>
        <w:tc>
          <w:tcPr>
            <w:tcW w:w="672" w:type="dxa"/>
            <w:shd w:val="clear" w:color="auto" w:fill="FFF2CC"/>
            <w:tcMar>
              <w:left w:w="28" w:type="dxa"/>
              <w:right w:w="28" w:type="dxa"/>
            </w:tcMar>
            <w:vAlign w:val="center"/>
          </w:tcPr>
          <w:p w14:paraId="495FC521"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27 000</w:t>
            </w:r>
          </w:p>
        </w:tc>
        <w:tc>
          <w:tcPr>
            <w:tcW w:w="865" w:type="dxa"/>
            <w:shd w:val="clear" w:color="auto" w:fill="FFF2CC"/>
            <w:tcMar>
              <w:left w:w="28" w:type="dxa"/>
              <w:right w:w="28" w:type="dxa"/>
            </w:tcMar>
            <w:vAlign w:val="center"/>
          </w:tcPr>
          <w:p w14:paraId="7A1A5DF3"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33 000</w:t>
            </w:r>
          </w:p>
        </w:tc>
        <w:tc>
          <w:tcPr>
            <w:tcW w:w="1124" w:type="dxa"/>
            <w:shd w:val="clear" w:color="auto" w:fill="FFF2CC"/>
            <w:tcMar>
              <w:left w:w="28" w:type="dxa"/>
              <w:right w:w="28" w:type="dxa"/>
            </w:tcMar>
            <w:vAlign w:val="center"/>
          </w:tcPr>
          <w:p w14:paraId="609320BF"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35 000</w:t>
            </w:r>
          </w:p>
        </w:tc>
        <w:tc>
          <w:tcPr>
            <w:tcW w:w="801" w:type="dxa"/>
            <w:shd w:val="clear" w:color="auto" w:fill="FFF2CC"/>
            <w:tcMar>
              <w:left w:w="28" w:type="dxa"/>
              <w:right w:w="28" w:type="dxa"/>
            </w:tcMar>
            <w:vAlign w:val="center"/>
          </w:tcPr>
          <w:p w14:paraId="075C27C4"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15 500</w:t>
            </w:r>
          </w:p>
        </w:tc>
        <w:tc>
          <w:tcPr>
            <w:tcW w:w="595" w:type="dxa"/>
            <w:shd w:val="clear" w:color="auto" w:fill="FFF2CC"/>
            <w:tcMar>
              <w:left w:w="28" w:type="dxa"/>
              <w:right w:w="28" w:type="dxa"/>
            </w:tcMar>
            <w:vAlign w:val="center"/>
          </w:tcPr>
          <w:p w14:paraId="756E3EA6"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145 000</w:t>
            </w:r>
          </w:p>
        </w:tc>
        <w:tc>
          <w:tcPr>
            <w:tcW w:w="708" w:type="dxa"/>
            <w:shd w:val="clear" w:color="auto" w:fill="FFF2CC"/>
            <w:tcMar>
              <w:left w:w="28" w:type="dxa"/>
              <w:right w:w="28" w:type="dxa"/>
            </w:tcMar>
            <w:vAlign w:val="center"/>
          </w:tcPr>
          <w:p w14:paraId="21666C34"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51 750</w:t>
            </w:r>
          </w:p>
        </w:tc>
        <w:tc>
          <w:tcPr>
            <w:tcW w:w="608" w:type="dxa"/>
            <w:shd w:val="clear" w:color="auto" w:fill="FFF2CC"/>
            <w:tcMar>
              <w:left w:w="28" w:type="dxa"/>
              <w:right w:w="28" w:type="dxa"/>
            </w:tcMar>
            <w:vAlign w:val="center"/>
          </w:tcPr>
          <w:p w14:paraId="7151D124" w14:textId="77777777" w:rsidR="00FC64C5" w:rsidRPr="008A401B" w:rsidRDefault="00FC64C5" w:rsidP="00F3373E">
            <w:pPr>
              <w:jc w:val="right"/>
              <w:rPr>
                <w:rFonts w:ascii="Calibri" w:eastAsia="Calibri" w:hAnsi="Calibri" w:cs="Times New Roman"/>
                <w:sz w:val="16"/>
                <w:szCs w:val="16"/>
              </w:rPr>
            </w:pPr>
            <w:r w:rsidRPr="008A401B">
              <w:rPr>
                <w:rFonts w:ascii="Calibri" w:eastAsia="Calibri" w:hAnsi="Calibri" w:cs="Times New Roman"/>
                <w:sz w:val="16"/>
                <w:szCs w:val="16"/>
              </w:rPr>
              <w:t>35,7 %</w:t>
            </w:r>
          </w:p>
        </w:tc>
      </w:tr>
    </w:tbl>
    <w:p w14:paraId="1EF8E58F" w14:textId="77777777" w:rsidR="00FC64C5" w:rsidRPr="00FC64C5" w:rsidRDefault="00FC64C5" w:rsidP="003F38BA"/>
    <w:p w14:paraId="2CFFD2F7" w14:textId="77777777" w:rsidR="004B7D67" w:rsidRDefault="004B7D67">
      <w:pPr>
        <w:rPr>
          <w:rFonts w:ascii="Aptos" w:hAnsi="Aptos" w:cs="Calibri"/>
          <w:b/>
          <w:bCs/>
        </w:rPr>
      </w:pPr>
      <w:r>
        <w:br w:type="page"/>
      </w:r>
    </w:p>
    <w:p w14:paraId="1C51B7A1" w14:textId="491C49E9" w:rsidR="00511A08" w:rsidRPr="00D401FA" w:rsidRDefault="00511A08" w:rsidP="00EA7D5B">
      <w:pPr>
        <w:pStyle w:val="Heading3"/>
      </w:pPr>
      <w:r w:rsidRPr="00D401FA">
        <w:lastRenderedPageBreak/>
        <w:t>Financement du Programme</w:t>
      </w:r>
      <w:bookmarkEnd w:id="32"/>
      <w:bookmarkEnd w:id="33"/>
    </w:p>
    <w:p w14:paraId="05FE6093" w14:textId="77777777" w:rsidR="00511A08" w:rsidRPr="00D401FA" w:rsidRDefault="00511A08" w:rsidP="001649BC">
      <w:pPr>
        <w:autoSpaceDE w:val="0"/>
        <w:autoSpaceDN w:val="0"/>
        <w:adjustRightInd w:val="0"/>
        <w:spacing w:line="240" w:lineRule="auto"/>
        <w:rPr>
          <w:rFonts w:ascii="Aptos" w:hAnsi="Aptos" w:cs="Calibri"/>
        </w:rPr>
      </w:pPr>
      <w:r w:rsidRPr="00D401FA">
        <w:rPr>
          <w:rFonts w:ascii="Aptos" w:hAnsi="Aptos" w:cs="Calibri"/>
          <w:b/>
          <w:bCs/>
        </w:rPr>
        <w:t>Tableau 3 : Financement du Programme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32"/>
        <w:gridCol w:w="2107"/>
        <w:gridCol w:w="1151"/>
      </w:tblGrid>
      <w:tr w:rsidR="00511A08" w:rsidRPr="00D401FA" w14:paraId="6B91634C" w14:textId="77777777" w:rsidTr="00462E36">
        <w:trPr>
          <w:trHeight w:val="90"/>
          <w:jc w:val="center"/>
        </w:trPr>
        <w:tc>
          <w:tcPr>
            <w:tcW w:w="4532" w:type="dxa"/>
            <w:vAlign w:val="center"/>
          </w:tcPr>
          <w:p w14:paraId="0A2EA0A1" w14:textId="77777777" w:rsidR="00511A08" w:rsidRPr="005C2441" w:rsidRDefault="00511A08" w:rsidP="004B7D67">
            <w:pPr>
              <w:autoSpaceDE w:val="0"/>
              <w:autoSpaceDN w:val="0"/>
              <w:adjustRightInd w:val="0"/>
              <w:spacing w:after="0" w:line="240" w:lineRule="auto"/>
              <w:jc w:val="center"/>
              <w:rPr>
                <w:rFonts w:ascii="Aptos" w:eastAsia="Calibri" w:hAnsi="Aptos" w:cs="Calibri"/>
                <w:color w:val="000000"/>
                <w:sz w:val="20"/>
                <w:szCs w:val="20"/>
              </w:rPr>
            </w:pPr>
            <w:r w:rsidRPr="005C2441">
              <w:rPr>
                <w:rFonts w:ascii="Aptos" w:eastAsia="Calibri" w:hAnsi="Aptos" w:cs="Calibri"/>
                <w:b/>
                <w:bCs/>
                <w:color w:val="000000"/>
                <w:sz w:val="20"/>
                <w:szCs w:val="20"/>
              </w:rPr>
              <w:t>Source</w:t>
            </w:r>
          </w:p>
        </w:tc>
        <w:tc>
          <w:tcPr>
            <w:tcW w:w="0" w:type="auto"/>
            <w:vAlign w:val="center"/>
          </w:tcPr>
          <w:p w14:paraId="39D50413" w14:textId="77777777" w:rsidR="00511A08" w:rsidRPr="005C2441" w:rsidRDefault="00511A08" w:rsidP="004B7D67">
            <w:pPr>
              <w:autoSpaceDE w:val="0"/>
              <w:autoSpaceDN w:val="0"/>
              <w:adjustRightInd w:val="0"/>
              <w:spacing w:after="0" w:line="240" w:lineRule="auto"/>
              <w:jc w:val="center"/>
              <w:rPr>
                <w:rFonts w:ascii="Aptos" w:eastAsia="Calibri" w:hAnsi="Aptos" w:cs="Calibri"/>
                <w:color w:val="000000"/>
                <w:sz w:val="20"/>
                <w:szCs w:val="20"/>
              </w:rPr>
            </w:pPr>
            <w:r w:rsidRPr="005C2441">
              <w:rPr>
                <w:rFonts w:ascii="Aptos" w:eastAsia="Calibri" w:hAnsi="Aptos" w:cs="Calibri"/>
                <w:b/>
                <w:bCs/>
                <w:color w:val="000000"/>
                <w:sz w:val="20"/>
                <w:szCs w:val="20"/>
              </w:rPr>
              <w:t>Montant (millions USD)</w:t>
            </w:r>
          </w:p>
        </w:tc>
        <w:tc>
          <w:tcPr>
            <w:tcW w:w="1151" w:type="dxa"/>
            <w:vAlign w:val="center"/>
          </w:tcPr>
          <w:p w14:paraId="3C0A2099" w14:textId="77777777" w:rsidR="00511A08" w:rsidRPr="005C2441" w:rsidRDefault="00511A08" w:rsidP="004B7D67">
            <w:pPr>
              <w:autoSpaceDE w:val="0"/>
              <w:autoSpaceDN w:val="0"/>
              <w:adjustRightInd w:val="0"/>
              <w:spacing w:after="0" w:line="240" w:lineRule="auto"/>
              <w:jc w:val="center"/>
              <w:rPr>
                <w:rFonts w:ascii="Aptos" w:eastAsia="Calibri" w:hAnsi="Aptos" w:cs="Calibri"/>
                <w:color w:val="000000"/>
                <w:sz w:val="20"/>
                <w:szCs w:val="20"/>
              </w:rPr>
            </w:pPr>
            <w:r w:rsidRPr="005C2441">
              <w:rPr>
                <w:rFonts w:ascii="Aptos" w:eastAsia="Calibri" w:hAnsi="Aptos" w:cs="Calibri"/>
                <w:b/>
                <w:bCs/>
                <w:color w:val="000000"/>
                <w:sz w:val="20"/>
                <w:szCs w:val="20"/>
              </w:rPr>
              <w:t>% du total</w:t>
            </w:r>
          </w:p>
        </w:tc>
      </w:tr>
      <w:tr w:rsidR="00511A08" w:rsidRPr="00D401FA" w14:paraId="37DE5677" w14:textId="77777777" w:rsidTr="00462E36">
        <w:trPr>
          <w:trHeight w:val="90"/>
          <w:jc w:val="center"/>
        </w:trPr>
        <w:tc>
          <w:tcPr>
            <w:tcW w:w="4532" w:type="dxa"/>
            <w:vAlign w:val="center"/>
          </w:tcPr>
          <w:p w14:paraId="439B5305" w14:textId="77777777" w:rsidR="00511A08" w:rsidRPr="005C2441" w:rsidRDefault="00511A08" w:rsidP="005C2441">
            <w:pPr>
              <w:autoSpaceDE w:val="0"/>
              <w:autoSpaceDN w:val="0"/>
              <w:adjustRightInd w:val="0"/>
              <w:spacing w:after="0" w:line="240" w:lineRule="auto"/>
              <w:jc w:val="center"/>
              <w:rPr>
                <w:rFonts w:ascii="Aptos" w:eastAsia="Calibri" w:hAnsi="Aptos" w:cs="Calibri"/>
                <w:b/>
                <w:bCs/>
                <w:color w:val="000000"/>
                <w:sz w:val="20"/>
                <w:szCs w:val="20"/>
                <w:lang w:val="en-US"/>
              </w:rPr>
            </w:pPr>
            <w:r w:rsidRPr="005C2441">
              <w:rPr>
                <w:rFonts w:ascii="Aptos" w:eastAsia="Calibri" w:hAnsi="Aptos" w:cs="Calibri"/>
                <w:b/>
                <w:bCs/>
                <w:color w:val="000000"/>
                <w:sz w:val="20"/>
                <w:szCs w:val="20"/>
              </w:rPr>
              <w:t>IDA</w:t>
            </w:r>
          </w:p>
        </w:tc>
        <w:tc>
          <w:tcPr>
            <w:tcW w:w="0" w:type="auto"/>
            <w:vAlign w:val="center"/>
          </w:tcPr>
          <w:p w14:paraId="38CCBCC3"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r w:rsidRPr="001649BC">
              <w:rPr>
                <w:rFonts w:ascii="Aptos" w:eastAsia="Calibri" w:hAnsi="Aptos" w:cs="Calibri"/>
                <w:color w:val="000000"/>
                <w:sz w:val="20"/>
                <w:szCs w:val="20"/>
              </w:rPr>
              <w:t>40</w:t>
            </w:r>
          </w:p>
        </w:tc>
        <w:tc>
          <w:tcPr>
            <w:tcW w:w="1151" w:type="dxa"/>
            <w:vAlign w:val="center"/>
          </w:tcPr>
          <w:p w14:paraId="2172456E"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r w:rsidRPr="001649BC">
              <w:rPr>
                <w:rFonts w:ascii="Aptos" w:eastAsia="Calibri" w:hAnsi="Aptos" w:cs="Calibri"/>
                <w:color w:val="000000"/>
                <w:sz w:val="20"/>
                <w:szCs w:val="20"/>
              </w:rPr>
              <w:t>57 %</w:t>
            </w:r>
          </w:p>
        </w:tc>
      </w:tr>
      <w:tr w:rsidR="00511A08" w:rsidRPr="00D401FA" w14:paraId="0B6B50A0" w14:textId="77777777" w:rsidTr="00462E36">
        <w:trPr>
          <w:trHeight w:val="90"/>
          <w:jc w:val="center"/>
        </w:trPr>
        <w:tc>
          <w:tcPr>
            <w:tcW w:w="4532" w:type="dxa"/>
            <w:vAlign w:val="center"/>
          </w:tcPr>
          <w:p w14:paraId="67A7F456" w14:textId="77777777" w:rsidR="00511A08" w:rsidRPr="005C2441" w:rsidRDefault="00511A08" w:rsidP="005C2441">
            <w:pPr>
              <w:autoSpaceDE w:val="0"/>
              <w:autoSpaceDN w:val="0"/>
              <w:adjustRightInd w:val="0"/>
              <w:spacing w:after="0" w:line="240" w:lineRule="auto"/>
              <w:jc w:val="center"/>
              <w:rPr>
                <w:rFonts w:ascii="Aptos" w:eastAsia="Calibri" w:hAnsi="Aptos" w:cs="Calibri"/>
                <w:b/>
                <w:bCs/>
                <w:color w:val="000000"/>
                <w:sz w:val="20"/>
                <w:szCs w:val="20"/>
                <w:lang w:val="en-US"/>
              </w:rPr>
            </w:pPr>
            <w:r w:rsidRPr="005C2441">
              <w:rPr>
                <w:rFonts w:ascii="Aptos" w:eastAsia="Calibri" w:hAnsi="Aptos" w:cs="Calibri"/>
                <w:b/>
                <w:bCs/>
                <w:color w:val="000000"/>
                <w:sz w:val="20"/>
                <w:szCs w:val="20"/>
              </w:rPr>
              <w:t xml:space="preserve">Crédit IDA – </w:t>
            </w:r>
            <w:proofErr w:type="spellStart"/>
            <w:r w:rsidRPr="005C2441">
              <w:rPr>
                <w:rFonts w:ascii="Aptos" w:eastAsia="Calibri" w:hAnsi="Aptos" w:cs="Calibri"/>
                <w:b/>
                <w:bCs/>
                <w:color w:val="000000"/>
                <w:sz w:val="20"/>
                <w:szCs w:val="20"/>
              </w:rPr>
              <w:t>PforR</w:t>
            </w:r>
            <w:proofErr w:type="spellEnd"/>
          </w:p>
        </w:tc>
        <w:tc>
          <w:tcPr>
            <w:tcW w:w="0" w:type="auto"/>
            <w:vAlign w:val="center"/>
          </w:tcPr>
          <w:p w14:paraId="315570AB"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sz w:val="20"/>
                <w:szCs w:val="20"/>
              </w:rPr>
            </w:pPr>
            <w:r w:rsidRPr="001649BC">
              <w:rPr>
                <w:rFonts w:ascii="Aptos" w:eastAsia="Calibri" w:hAnsi="Aptos" w:cs="Calibri"/>
                <w:color w:val="000000"/>
                <w:sz w:val="20"/>
                <w:szCs w:val="20"/>
              </w:rPr>
              <w:t>10</w:t>
            </w:r>
          </w:p>
        </w:tc>
        <w:tc>
          <w:tcPr>
            <w:tcW w:w="1151" w:type="dxa"/>
            <w:vAlign w:val="center"/>
          </w:tcPr>
          <w:p w14:paraId="35D01967"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585858"/>
                <w:sz w:val="20"/>
                <w:szCs w:val="20"/>
              </w:rPr>
            </w:pPr>
          </w:p>
        </w:tc>
      </w:tr>
      <w:tr w:rsidR="00511A08" w:rsidRPr="00D401FA" w14:paraId="08CFB36D" w14:textId="77777777" w:rsidTr="00462E36">
        <w:trPr>
          <w:trHeight w:val="90"/>
          <w:jc w:val="center"/>
        </w:trPr>
        <w:tc>
          <w:tcPr>
            <w:tcW w:w="4532" w:type="dxa"/>
            <w:vAlign w:val="center"/>
          </w:tcPr>
          <w:p w14:paraId="2F00B330" w14:textId="77777777" w:rsidR="00511A08" w:rsidRPr="005C2441" w:rsidRDefault="00511A08" w:rsidP="005C2441">
            <w:pPr>
              <w:autoSpaceDE w:val="0"/>
              <w:autoSpaceDN w:val="0"/>
              <w:adjustRightInd w:val="0"/>
              <w:spacing w:after="0" w:line="240" w:lineRule="auto"/>
              <w:jc w:val="center"/>
              <w:rPr>
                <w:rFonts w:ascii="Aptos" w:eastAsia="Calibri" w:hAnsi="Aptos" w:cs="Calibri"/>
                <w:b/>
                <w:bCs/>
                <w:color w:val="585858"/>
                <w:sz w:val="20"/>
                <w:szCs w:val="20"/>
                <w:lang w:val="en-US"/>
              </w:rPr>
            </w:pPr>
            <w:r w:rsidRPr="005C2441">
              <w:rPr>
                <w:rFonts w:ascii="Aptos" w:eastAsia="Calibri" w:hAnsi="Aptos" w:cs="Calibri"/>
                <w:b/>
                <w:bCs/>
                <w:color w:val="000000"/>
                <w:sz w:val="20"/>
                <w:szCs w:val="20"/>
              </w:rPr>
              <w:t>Crédit IDA – IPF</w:t>
            </w:r>
          </w:p>
        </w:tc>
        <w:tc>
          <w:tcPr>
            <w:tcW w:w="0" w:type="auto"/>
            <w:vAlign w:val="center"/>
          </w:tcPr>
          <w:p w14:paraId="48E70098"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sz w:val="20"/>
                <w:szCs w:val="20"/>
              </w:rPr>
            </w:pPr>
            <w:r w:rsidRPr="001649BC">
              <w:rPr>
                <w:rFonts w:ascii="Aptos" w:eastAsia="Calibri" w:hAnsi="Aptos" w:cs="Calibri"/>
                <w:color w:val="000000"/>
                <w:sz w:val="20"/>
                <w:szCs w:val="20"/>
              </w:rPr>
              <w:t>5</w:t>
            </w:r>
          </w:p>
        </w:tc>
        <w:tc>
          <w:tcPr>
            <w:tcW w:w="1151" w:type="dxa"/>
            <w:vAlign w:val="center"/>
          </w:tcPr>
          <w:p w14:paraId="610E9DFC"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585858"/>
                <w:sz w:val="20"/>
                <w:szCs w:val="20"/>
              </w:rPr>
            </w:pPr>
          </w:p>
        </w:tc>
      </w:tr>
      <w:tr w:rsidR="00511A08" w:rsidRPr="00D401FA" w14:paraId="24FF5CBB" w14:textId="77777777" w:rsidTr="00462E36">
        <w:trPr>
          <w:trHeight w:val="90"/>
          <w:jc w:val="center"/>
        </w:trPr>
        <w:tc>
          <w:tcPr>
            <w:tcW w:w="4532" w:type="dxa"/>
            <w:vAlign w:val="center"/>
          </w:tcPr>
          <w:p w14:paraId="23231F23" w14:textId="77777777" w:rsidR="00511A08" w:rsidRPr="005C2441" w:rsidRDefault="00511A08" w:rsidP="005C2441">
            <w:pPr>
              <w:autoSpaceDE w:val="0"/>
              <w:autoSpaceDN w:val="0"/>
              <w:adjustRightInd w:val="0"/>
              <w:spacing w:after="0" w:line="240" w:lineRule="auto"/>
              <w:jc w:val="center"/>
              <w:rPr>
                <w:rFonts w:ascii="Aptos" w:eastAsia="Calibri" w:hAnsi="Aptos" w:cs="Calibri"/>
                <w:b/>
                <w:bCs/>
                <w:color w:val="585858"/>
                <w:sz w:val="20"/>
                <w:szCs w:val="20"/>
                <w:lang w:val="en-US"/>
              </w:rPr>
            </w:pPr>
            <w:r w:rsidRPr="005C2441">
              <w:rPr>
                <w:rFonts w:ascii="Aptos" w:eastAsia="Calibri" w:hAnsi="Aptos" w:cs="Calibri"/>
                <w:b/>
                <w:bCs/>
                <w:color w:val="000000"/>
                <w:sz w:val="20"/>
                <w:szCs w:val="20"/>
              </w:rPr>
              <w:t xml:space="preserve">IDA WHR – </w:t>
            </w:r>
            <w:proofErr w:type="spellStart"/>
            <w:r w:rsidRPr="005C2441">
              <w:rPr>
                <w:rFonts w:ascii="Aptos" w:eastAsia="Calibri" w:hAnsi="Aptos" w:cs="Calibri"/>
                <w:b/>
                <w:bCs/>
                <w:color w:val="000000"/>
                <w:sz w:val="20"/>
                <w:szCs w:val="20"/>
              </w:rPr>
              <w:t>PforR</w:t>
            </w:r>
            <w:proofErr w:type="spellEnd"/>
          </w:p>
        </w:tc>
        <w:tc>
          <w:tcPr>
            <w:tcW w:w="0" w:type="auto"/>
            <w:vAlign w:val="center"/>
          </w:tcPr>
          <w:p w14:paraId="156E4095"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sz w:val="20"/>
                <w:szCs w:val="20"/>
              </w:rPr>
            </w:pPr>
            <w:r w:rsidRPr="001649BC">
              <w:rPr>
                <w:rFonts w:ascii="Aptos" w:eastAsia="Calibri" w:hAnsi="Aptos" w:cs="Calibri"/>
                <w:color w:val="000000"/>
                <w:sz w:val="20"/>
                <w:szCs w:val="20"/>
              </w:rPr>
              <w:t>25</w:t>
            </w:r>
          </w:p>
        </w:tc>
        <w:tc>
          <w:tcPr>
            <w:tcW w:w="1151" w:type="dxa"/>
            <w:vAlign w:val="center"/>
          </w:tcPr>
          <w:p w14:paraId="41B056D1"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585858"/>
                <w:sz w:val="20"/>
                <w:szCs w:val="20"/>
              </w:rPr>
            </w:pPr>
          </w:p>
        </w:tc>
      </w:tr>
      <w:tr w:rsidR="00511A08" w:rsidRPr="00D401FA" w14:paraId="11980162" w14:textId="77777777" w:rsidTr="00462E36">
        <w:trPr>
          <w:trHeight w:val="90"/>
          <w:jc w:val="center"/>
        </w:trPr>
        <w:tc>
          <w:tcPr>
            <w:tcW w:w="4532" w:type="dxa"/>
            <w:vAlign w:val="center"/>
          </w:tcPr>
          <w:p w14:paraId="73952C60" w14:textId="77777777" w:rsidR="00511A08" w:rsidRPr="005C2441" w:rsidRDefault="00511A08" w:rsidP="005C2441">
            <w:pPr>
              <w:autoSpaceDE w:val="0"/>
              <w:autoSpaceDN w:val="0"/>
              <w:adjustRightInd w:val="0"/>
              <w:spacing w:after="0" w:line="240" w:lineRule="auto"/>
              <w:jc w:val="center"/>
              <w:rPr>
                <w:rFonts w:ascii="Aptos" w:eastAsia="Calibri" w:hAnsi="Aptos" w:cs="Calibri"/>
                <w:b/>
                <w:bCs/>
                <w:color w:val="585858"/>
                <w:sz w:val="20"/>
                <w:szCs w:val="20"/>
                <w:lang w:val="en-US"/>
              </w:rPr>
            </w:pPr>
            <w:r w:rsidRPr="005C2441">
              <w:rPr>
                <w:rFonts w:ascii="Aptos" w:eastAsia="Calibri" w:hAnsi="Aptos" w:cs="Calibri"/>
                <w:b/>
                <w:bCs/>
                <w:color w:val="000000"/>
                <w:sz w:val="20"/>
                <w:szCs w:val="20"/>
              </w:rPr>
              <w:t>GPE</w:t>
            </w:r>
          </w:p>
        </w:tc>
        <w:tc>
          <w:tcPr>
            <w:tcW w:w="0" w:type="auto"/>
            <w:vAlign w:val="center"/>
          </w:tcPr>
          <w:p w14:paraId="3CD452CA"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r w:rsidRPr="001649BC">
              <w:rPr>
                <w:rFonts w:ascii="Aptos" w:eastAsia="Calibri" w:hAnsi="Aptos" w:cs="Calibri"/>
                <w:color w:val="000000"/>
                <w:sz w:val="20"/>
                <w:szCs w:val="20"/>
              </w:rPr>
              <w:t>16,75</w:t>
            </w:r>
          </w:p>
        </w:tc>
        <w:tc>
          <w:tcPr>
            <w:tcW w:w="1151" w:type="dxa"/>
            <w:vAlign w:val="center"/>
          </w:tcPr>
          <w:p w14:paraId="3878E939"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585858"/>
                <w:sz w:val="20"/>
                <w:szCs w:val="20"/>
              </w:rPr>
            </w:pPr>
            <w:r w:rsidRPr="001649BC">
              <w:rPr>
                <w:rFonts w:ascii="Aptos" w:eastAsia="Calibri" w:hAnsi="Aptos" w:cs="Calibri"/>
                <w:color w:val="000000"/>
                <w:sz w:val="20"/>
                <w:szCs w:val="20"/>
              </w:rPr>
              <w:t>24 %</w:t>
            </w:r>
          </w:p>
        </w:tc>
      </w:tr>
      <w:tr w:rsidR="00511A08" w:rsidRPr="00D401FA" w14:paraId="6E4FBAC6" w14:textId="77777777" w:rsidTr="00462E36">
        <w:trPr>
          <w:trHeight w:val="90"/>
          <w:jc w:val="center"/>
        </w:trPr>
        <w:tc>
          <w:tcPr>
            <w:tcW w:w="4532" w:type="dxa"/>
            <w:vAlign w:val="center"/>
          </w:tcPr>
          <w:p w14:paraId="0F79BFA2" w14:textId="77777777" w:rsidR="00511A08" w:rsidRPr="005C2441" w:rsidRDefault="00511A08" w:rsidP="005C2441">
            <w:pPr>
              <w:autoSpaceDE w:val="0"/>
              <w:autoSpaceDN w:val="0"/>
              <w:adjustRightInd w:val="0"/>
              <w:spacing w:after="0" w:line="240" w:lineRule="auto"/>
              <w:jc w:val="center"/>
              <w:rPr>
                <w:rFonts w:ascii="Aptos" w:eastAsia="Calibri" w:hAnsi="Aptos" w:cs="Calibri"/>
                <w:b/>
                <w:bCs/>
                <w:color w:val="585858"/>
                <w:sz w:val="20"/>
                <w:szCs w:val="20"/>
              </w:rPr>
            </w:pPr>
            <w:r w:rsidRPr="005C2441">
              <w:rPr>
                <w:rFonts w:ascii="Aptos" w:eastAsia="Calibri" w:hAnsi="Aptos" w:cs="Calibri"/>
                <w:b/>
                <w:bCs/>
                <w:color w:val="000000"/>
                <w:sz w:val="20"/>
                <w:szCs w:val="20"/>
              </w:rPr>
              <w:t xml:space="preserve">Don multiplicateur du GPE – </w:t>
            </w:r>
            <w:proofErr w:type="spellStart"/>
            <w:r w:rsidRPr="005C2441">
              <w:rPr>
                <w:rFonts w:ascii="Aptos" w:eastAsia="Calibri" w:hAnsi="Aptos" w:cs="Calibri"/>
                <w:b/>
                <w:bCs/>
                <w:color w:val="000000"/>
                <w:sz w:val="20"/>
                <w:szCs w:val="20"/>
              </w:rPr>
              <w:t>PforR</w:t>
            </w:r>
            <w:proofErr w:type="spellEnd"/>
          </w:p>
        </w:tc>
        <w:tc>
          <w:tcPr>
            <w:tcW w:w="0" w:type="auto"/>
            <w:vAlign w:val="center"/>
          </w:tcPr>
          <w:p w14:paraId="4CB951B7"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r w:rsidRPr="001649BC">
              <w:rPr>
                <w:rFonts w:ascii="Aptos" w:eastAsia="Calibri" w:hAnsi="Aptos" w:cs="Calibri"/>
                <w:color w:val="000000"/>
                <w:sz w:val="20"/>
                <w:szCs w:val="20"/>
              </w:rPr>
              <w:t>10</w:t>
            </w:r>
          </w:p>
        </w:tc>
        <w:tc>
          <w:tcPr>
            <w:tcW w:w="1151" w:type="dxa"/>
            <w:vAlign w:val="center"/>
          </w:tcPr>
          <w:p w14:paraId="7C80A53B"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p>
        </w:tc>
      </w:tr>
      <w:tr w:rsidR="00511A08" w:rsidRPr="00D401FA" w14:paraId="21B417CE" w14:textId="77777777" w:rsidTr="00462E36">
        <w:trPr>
          <w:trHeight w:val="90"/>
          <w:jc w:val="center"/>
        </w:trPr>
        <w:tc>
          <w:tcPr>
            <w:tcW w:w="4532" w:type="dxa"/>
            <w:vAlign w:val="center"/>
          </w:tcPr>
          <w:p w14:paraId="03BD1EF7" w14:textId="77777777" w:rsidR="00511A08" w:rsidRPr="005C2441" w:rsidRDefault="00511A08" w:rsidP="005C2441">
            <w:pPr>
              <w:autoSpaceDE w:val="0"/>
              <w:autoSpaceDN w:val="0"/>
              <w:adjustRightInd w:val="0"/>
              <w:spacing w:after="0" w:line="240" w:lineRule="auto"/>
              <w:jc w:val="center"/>
              <w:rPr>
                <w:rFonts w:ascii="Aptos" w:eastAsia="Calibri" w:hAnsi="Aptos" w:cs="Calibri"/>
                <w:b/>
                <w:bCs/>
                <w:color w:val="585858"/>
                <w:sz w:val="20"/>
                <w:szCs w:val="20"/>
              </w:rPr>
            </w:pPr>
            <w:r w:rsidRPr="005C2441">
              <w:rPr>
                <w:rFonts w:ascii="Aptos" w:eastAsia="Calibri" w:hAnsi="Aptos" w:cs="Calibri"/>
                <w:b/>
                <w:bCs/>
                <w:color w:val="000000"/>
                <w:sz w:val="20"/>
                <w:szCs w:val="20"/>
              </w:rPr>
              <w:t xml:space="preserve">Don pour la transformation des systèmes du GPE – </w:t>
            </w:r>
            <w:proofErr w:type="spellStart"/>
            <w:r w:rsidRPr="005C2441">
              <w:rPr>
                <w:rFonts w:ascii="Aptos" w:eastAsia="Calibri" w:hAnsi="Aptos" w:cs="Calibri"/>
                <w:b/>
                <w:bCs/>
                <w:color w:val="000000"/>
                <w:sz w:val="20"/>
                <w:szCs w:val="20"/>
              </w:rPr>
              <w:t>PforR</w:t>
            </w:r>
            <w:proofErr w:type="spellEnd"/>
          </w:p>
        </w:tc>
        <w:tc>
          <w:tcPr>
            <w:tcW w:w="0" w:type="auto"/>
            <w:vAlign w:val="center"/>
          </w:tcPr>
          <w:p w14:paraId="0959A5E7"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r w:rsidRPr="001649BC">
              <w:rPr>
                <w:rFonts w:ascii="Aptos" w:eastAsia="Calibri" w:hAnsi="Aptos" w:cs="Calibri"/>
                <w:color w:val="000000"/>
                <w:sz w:val="20"/>
                <w:szCs w:val="20"/>
              </w:rPr>
              <w:t>6,75</w:t>
            </w:r>
          </w:p>
        </w:tc>
        <w:tc>
          <w:tcPr>
            <w:tcW w:w="1151" w:type="dxa"/>
            <w:vAlign w:val="center"/>
          </w:tcPr>
          <w:p w14:paraId="4F3E3CEC"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p>
        </w:tc>
      </w:tr>
      <w:tr w:rsidR="00511A08" w:rsidRPr="00D401FA" w14:paraId="133E8457" w14:textId="77777777" w:rsidTr="00462E36">
        <w:trPr>
          <w:trHeight w:val="90"/>
          <w:jc w:val="center"/>
        </w:trPr>
        <w:tc>
          <w:tcPr>
            <w:tcW w:w="4532" w:type="dxa"/>
            <w:vAlign w:val="center"/>
          </w:tcPr>
          <w:p w14:paraId="15020D29" w14:textId="77777777" w:rsidR="00511A08" w:rsidRPr="005C2441" w:rsidRDefault="00511A08" w:rsidP="005C2441">
            <w:pPr>
              <w:autoSpaceDE w:val="0"/>
              <w:autoSpaceDN w:val="0"/>
              <w:adjustRightInd w:val="0"/>
              <w:spacing w:after="0" w:line="240" w:lineRule="auto"/>
              <w:jc w:val="center"/>
              <w:rPr>
                <w:rFonts w:ascii="Aptos" w:eastAsia="Calibri" w:hAnsi="Aptos" w:cs="Calibri"/>
                <w:b/>
                <w:bCs/>
                <w:color w:val="000000"/>
                <w:sz w:val="20"/>
                <w:szCs w:val="20"/>
                <w:lang w:val="en-US"/>
              </w:rPr>
            </w:pPr>
            <w:r w:rsidRPr="005C2441">
              <w:rPr>
                <w:rFonts w:ascii="Aptos" w:eastAsia="Calibri" w:hAnsi="Aptos" w:cs="Calibri"/>
                <w:b/>
                <w:bCs/>
                <w:color w:val="000000"/>
                <w:sz w:val="20"/>
                <w:szCs w:val="20"/>
              </w:rPr>
              <w:t>Financement total</w:t>
            </w:r>
          </w:p>
        </w:tc>
        <w:tc>
          <w:tcPr>
            <w:tcW w:w="0" w:type="auto"/>
            <w:vAlign w:val="center"/>
          </w:tcPr>
          <w:p w14:paraId="0ABF90C6"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r w:rsidRPr="001649BC">
              <w:rPr>
                <w:rFonts w:ascii="Aptos" w:eastAsia="Calibri" w:hAnsi="Aptos" w:cs="Calibri"/>
                <w:color w:val="000000"/>
                <w:sz w:val="20"/>
                <w:szCs w:val="20"/>
              </w:rPr>
              <w:t>56,75</w:t>
            </w:r>
          </w:p>
        </w:tc>
        <w:tc>
          <w:tcPr>
            <w:tcW w:w="1151" w:type="dxa"/>
            <w:vAlign w:val="center"/>
          </w:tcPr>
          <w:p w14:paraId="7221BC37"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p>
        </w:tc>
      </w:tr>
      <w:tr w:rsidR="00511A08" w:rsidRPr="00D401FA" w14:paraId="43A6B97D" w14:textId="77777777" w:rsidTr="00462E36">
        <w:trPr>
          <w:trHeight w:val="90"/>
          <w:jc w:val="center"/>
        </w:trPr>
        <w:tc>
          <w:tcPr>
            <w:tcW w:w="4532" w:type="dxa"/>
            <w:vAlign w:val="center"/>
          </w:tcPr>
          <w:p w14:paraId="6067C8E8" w14:textId="77777777" w:rsidR="00511A08" w:rsidRPr="005C2441" w:rsidRDefault="00511A08" w:rsidP="005C2441">
            <w:pPr>
              <w:autoSpaceDE w:val="0"/>
              <w:autoSpaceDN w:val="0"/>
              <w:adjustRightInd w:val="0"/>
              <w:spacing w:after="0" w:line="240" w:lineRule="auto"/>
              <w:jc w:val="center"/>
              <w:rPr>
                <w:rFonts w:ascii="Aptos" w:eastAsia="Calibri" w:hAnsi="Aptos" w:cs="Calibri"/>
                <w:b/>
                <w:bCs/>
                <w:color w:val="000000"/>
                <w:sz w:val="20"/>
                <w:szCs w:val="20"/>
                <w:lang w:val="en-US"/>
              </w:rPr>
            </w:pPr>
            <w:r w:rsidRPr="005C2441">
              <w:rPr>
                <w:rFonts w:ascii="Aptos" w:eastAsia="Calibri" w:hAnsi="Aptos" w:cs="Calibri"/>
                <w:b/>
                <w:bCs/>
                <w:color w:val="000000"/>
                <w:sz w:val="20"/>
                <w:szCs w:val="20"/>
              </w:rPr>
              <w:t>Gouvernement de Mauritanie</w:t>
            </w:r>
          </w:p>
        </w:tc>
        <w:tc>
          <w:tcPr>
            <w:tcW w:w="0" w:type="auto"/>
            <w:vAlign w:val="center"/>
          </w:tcPr>
          <w:p w14:paraId="08935B2E"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585858"/>
                <w:sz w:val="20"/>
                <w:szCs w:val="20"/>
              </w:rPr>
            </w:pPr>
            <w:r w:rsidRPr="001649BC">
              <w:rPr>
                <w:rFonts w:ascii="Aptos" w:eastAsia="Calibri" w:hAnsi="Aptos" w:cs="Calibri"/>
                <w:color w:val="000000"/>
                <w:sz w:val="20"/>
                <w:szCs w:val="20"/>
              </w:rPr>
              <w:t>13,25</w:t>
            </w:r>
          </w:p>
        </w:tc>
        <w:tc>
          <w:tcPr>
            <w:tcW w:w="1151" w:type="dxa"/>
            <w:vAlign w:val="center"/>
          </w:tcPr>
          <w:p w14:paraId="181DA099"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585858"/>
                <w:sz w:val="20"/>
                <w:szCs w:val="20"/>
              </w:rPr>
            </w:pPr>
            <w:r w:rsidRPr="001649BC">
              <w:rPr>
                <w:rFonts w:ascii="Aptos" w:eastAsia="Calibri" w:hAnsi="Aptos" w:cs="Calibri"/>
                <w:color w:val="000000"/>
                <w:sz w:val="20"/>
                <w:szCs w:val="20"/>
              </w:rPr>
              <w:t>19 %</w:t>
            </w:r>
          </w:p>
        </w:tc>
      </w:tr>
      <w:tr w:rsidR="00511A08" w:rsidRPr="00D401FA" w14:paraId="670FFCAC" w14:textId="77777777" w:rsidTr="00462E36">
        <w:trPr>
          <w:trHeight w:val="90"/>
          <w:jc w:val="center"/>
        </w:trPr>
        <w:tc>
          <w:tcPr>
            <w:tcW w:w="4532" w:type="dxa"/>
            <w:vAlign w:val="center"/>
          </w:tcPr>
          <w:p w14:paraId="6E26DB2E" w14:textId="77777777" w:rsidR="00511A08" w:rsidRPr="00BC7047" w:rsidRDefault="00511A08" w:rsidP="005C2441">
            <w:pPr>
              <w:autoSpaceDE w:val="0"/>
              <w:autoSpaceDN w:val="0"/>
              <w:adjustRightInd w:val="0"/>
              <w:spacing w:after="0" w:line="240" w:lineRule="auto"/>
              <w:jc w:val="center"/>
              <w:rPr>
                <w:rFonts w:ascii="Aptos" w:eastAsia="Calibri" w:hAnsi="Aptos" w:cs="Calibri"/>
                <w:b/>
                <w:bCs/>
                <w:color w:val="000000"/>
                <w:sz w:val="20"/>
                <w:szCs w:val="20"/>
              </w:rPr>
            </w:pPr>
            <w:r w:rsidRPr="005C2441">
              <w:rPr>
                <w:rFonts w:ascii="Aptos" w:eastAsia="Calibri" w:hAnsi="Aptos" w:cs="Calibri"/>
                <w:b/>
                <w:bCs/>
                <w:color w:val="000000"/>
                <w:sz w:val="20"/>
                <w:szCs w:val="20"/>
              </w:rPr>
              <w:t>Financement total du Programme (</w:t>
            </w:r>
            <w:proofErr w:type="spellStart"/>
            <w:r w:rsidRPr="005C2441">
              <w:rPr>
                <w:rFonts w:ascii="Aptos" w:eastAsia="Calibri" w:hAnsi="Aptos" w:cs="Calibri"/>
                <w:b/>
                <w:bCs/>
                <w:color w:val="000000"/>
                <w:sz w:val="20"/>
                <w:szCs w:val="20"/>
              </w:rPr>
              <w:t>PforR</w:t>
            </w:r>
            <w:proofErr w:type="spellEnd"/>
            <w:r w:rsidRPr="005C2441">
              <w:rPr>
                <w:rFonts w:ascii="Aptos" w:eastAsia="Calibri" w:hAnsi="Aptos" w:cs="Calibri"/>
                <w:b/>
                <w:bCs/>
                <w:color w:val="000000"/>
                <w:sz w:val="20"/>
                <w:szCs w:val="20"/>
              </w:rPr>
              <w:t>)</w:t>
            </w:r>
          </w:p>
        </w:tc>
        <w:tc>
          <w:tcPr>
            <w:tcW w:w="0" w:type="auto"/>
            <w:vAlign w:val="center"/>
          </w:tcPr>
          <w:p w14:paraId="63B36DB1"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r w:rsidRPr="001649BC">
              <w:rPr>
                <w:rFonts w:ascii="Aptos" w:eastAsia="Calibri" w:hAnsi="Aptos" w:cs="Calibri"/>
                <w:color w:val="000000"/>
                <w:sz w:val="20"/>
                <w:szCs w:val="20"/>
              </w:rPr>
              <w:t>70</w:t>
            </w:r>
          </w:p>
        </w:tc>
        <w:tc>
          <w:tcPr>
            <w:tcW w:w="1151" w:type="dxa"/>
            <w:vAlign w:val="center"/>
          </w:tcPr>
          <w:p w14:paraId="75841469"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r w:rsidRPr="001649BC">
              <w:rPr>
                <w:rFonts w:ascii="Aptos" w:eastAsia="Calibri" w:hAnsi="Aptos" w:cs="Calibri"/>
                <w:color w:val="000000"/>
                <w:sz w:val="20"/>
                <w:szCs w:val="20"/>
              </w:rPr>
              <w:t>100 %</w:t>
            </w:r>
          </w:p>
        </w:tc>
      </w:tr>
      <w:tr w:rsidR="00511A08" w:rsidRPr="00D401FA" w14:paraId="05FD8D81" w14:textId="77777777" w:rsidTr="00462E36">
        <w:trPr>
          <w:trHeight w:val="90"/>
          <w:jc w:val="center"/>
        </w:trPr>
        <w:tc>
          <w:tcPr>
            <w:tcW w:w="4532" w:type="dxa"/>
            <w:vAlign w:val="center"/>
          </w:tcPr>
          <w:p w14:paraId="6B5D4E7D" w14:textId="77777777" w:rsidR="00511A08" w:rsidRPr="00BC7047" w:rsidRDefault="00511A08" w:rsidP="005C2441">
            <w:pPr>
              <w:autoSpaceDE w:val="0"/>
              <w:autoSpaceDN w:val="0"/>
              <w:adjustRightInd w:val="0"/>
              <w:spacing w:after="0" w:line="240" w:lineRule="auto"/>
              <w:jc w:val="center"/>
              <w:rPr>
                <w:rFonts w:ascii="Aptos" w:eastAsia="Calibri" w:hAnsi="Aptos" w:cs="Calibri"/>
                <w:b/>
                <w:bCs/>
                <w:color w:val="000000"/>
                <w:sz w:val="20"/>
                <w:szCs w:val="20"/>
              </w:rPr>
            </w:pPr>
            <w:r w:rsidRPr="005C2441">
              <w:rPr>
                <w:rFonts w:ascii="Aptos" w:eastAsia="Calibri" w:hAnsi="Aptos" w:cs="Calibri"/>
                <w:b/>
                <w:bCs/>
                <w:color w:val="000000"/>
                <w:sz w:val="20"/>
                <w:szCs w:val="20"/>
              </w:rPr>
              <w:t>Coût total du programme (PPSA)</w:t>
            </w:r>
          </w:p>
        </w:tc>
        <w:tc>
          <w:tcPr>
            <w:tcW w:w="0" w:type="auto"/>
            <w:vAlign w:val="center"/>
          </w:tcPr>
          <w:p w14:paraId="759902D9"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r w:rsidRPr="001649BC">
              <w:rPr>
                <w:rFonts w:ascii="Aptos" w:eastAsia="Calibri" w:hAnsi="Aptos" w:cs="Calibri"/>
                <w:color w:val="000000"/>
                <w:sz w:val="20"/>
                <w:szCs w:val="20"/>
              </w:rPr>
              <w:t>145</w:t>
            </w:r>
          </w:p>
        </w:tc>
        <w:tc>
          <w:tcPr>
            <w:tcW w:w="1151" w:type="dxa"/>
            <w:vAlign w:val="center"/>
          </w:tcPr>
          <w:p w14:paraId="0A0F3F56" w14:textId="77777777" w:rsidR="00511A08" w:rsidRPr="001649BC" w:rsidRDefault="00511A08" w:rsidP="005C2441">
            <w:pPr>
              <w:autoSpaceDE w:val="0"/>
              <w:autoSpaceDN w:val="0"/>
              <w:adjustRightInd w:val="0"/>
              <w:spacing w:after="0" w:line="240" w:lineRule="auto"/>
              <w:ind w:right="335"/>
              <w:jc w:val="right"/>
              <w:rPr>
                <w:rFonts w:ascii="Aptos" w:eastAsia="Calibri" w:hAnsi="Aptos" w:cs="Calibri"/>
                <w:color w:val="000000"/>
                <w:sz w:val="20"/>
                <w:szCs w:val="20"/>
              </w:rPr>
            </w:pPr>
          </w:p>
        </w:tc>
      </w:tr>
    </w:tbl>
    <w:p w14:paraId="7225DF17" w14:textId="6AFE96A1" w:rsidR="00511A08" w:rsidRPr="00D401FA" w:rsidRDefault="00511A08" w:rsidP="00EA7D5B">
      <w:pPr>
        <w:pStyle w:val="Heading2"/>
      </w:pPr>
      <w:bookmarkStart w:id="34" w:name="_Toc227686272"/>
      <w:bookmarkStart w:id="35" w:name="_Toc227686307"/>
      <w:bookmarkStart w:id="36" w:name="_Toc227686353"/>
      <w:r w:rsidRPr="00D401FA">
        <w:t>Indicateurs liés aux décaissements</w:t>
      </w:r>
      <w:bookmarkEnd w:id="34"/>
      <w:bookmarkEnd w:id="35"/>
      <w:bookmarkEnd w:id="36"/>
    </w:p>
    <w:p w14:paraId="31EC6201" w14:textId="77777777" w:rsidR="00511A08" w:rsidRPr="00D401FA" w:rsidRDefault="00511A08" w:rsidP="001649BC">
      <w:pPr>
        <w:autoSpaceDE w:val="0"/>
        <w:autoSpaceDN w:val="0"/>
        <w:adjustRightInd w:val="0"/>
        <w:spacing w:line="240" w:lineRule="auto"/>
        <w:rPr>
          <w:rFonts w:ascii="Aptos" w:hAnsi="Aptos" w:cs="Calibri"/>
          <w:b/>
          <w:bCs/>
        </w:rPr>
      </w:pPr>
      <w:r w:rsidRPr="00D401FA">
        <w:rPr>
          <w:rFonts w:ascii="Aptos" w:hAnsi="Aptos" w:cs="Calibri"/>
          <w:b/>
          <w:bCs/>
        </w:rPr>
        <w:t>Tableau 4 : Allocation des ILD du Programme</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3600"/>
        <w:gridCol w:w="1440"/>
        <w:gridCol w:w="1350"/>
        <w:gridCol w:w="1260"/>
      </w:tblGrid>
      <w:tr w:rsidR="00A2320D" w:rsidRPr="00D401FA" w14:paraId="30E26DB6" w14:textId="77777777" w:rsidTr="00462E36">
        <w:tc>
          <w:tcPr>
            <w:tcW w:w="2430" w:type="dxa"/>
            <w:vAlign w:val="center"/>
          </w:tcPr>
          <w:p w14:paraId="77123B70" w14:textId="77777777" w:rsidR="00A2320D" w:rsidRPr="005C2441" w:rsidRDefault="00A2320D" w:rsidP="005C2441">
            <w:pPr>
              <w:spacing w:after="0" w:line="240" w:lineRule="auto"/>
              <w:jc w:val="both"/>
              <w:rPr>
                <w:rFonts w:ascii="Aptos" w:eastAsia="Calibri" w:hAnsi="Aptos" w:cs="Calibri"/>
                <w:b/>
                <w:bCs/>
                <w:kern w:val="0"/>
                <w:sz w:val="20"/>
                <w:szCs w:val="20"/>
                <w14:ligatures w14:val="none"/>
              </w:rPr>
            </w:pPr>
            <w:r w:rsidRPr="005C2441">
              <w:rPr>
                <w:rFonts w:ascii="Aptos" w:hAnsi="Aptos" w:cs="Calibri"/>
                <w:b/>
                <w:bCs/>
                <w:sz w:val="20"/>
                <w:szCs w:val="20"/>
              </w:rPr>
              <w:t>Objectif de l’ILD</w:t>
            </w:r>
          </w:p>
        </w:tc>
        <w:tc>
          <w:tcPr>
            <w:tcW w:w="3600" w:type="dxa"/>
            <w:vAlign w:val="center"/>
          </w:tcPr>
          <w:p w14:paraId="117F35CC" w14:textId="77777777" w:rsidR="00A2320D" w:rsidRPr="005C2441" w:rsidRDefault="00A2320D" w:rsidP="005C2441">
            <w:pPr>
              <w:spacing w:after="0" w:line="240" w:lineRule="auto"/>
              <w:jc w:val="both"/>
              <w:rPr>
                <w:rFonts w:ascii="Aptos" w:eastAsia="Calibri" w:hAnsi="Aptos" w:cs="Calibri"/>
                <w:b/>
                <w:bCs/>
                <w:kern w:val="0"/>
                <w:sz w:val="20"/>
                <w:szCs w:val="20"/>
                <w14:ligatures w14:val="none"/>
              </w:rPr>
            </w:pPr>
            <w:r w:rsidRPr="005C2441">
              <w:rPr>
                <w:rFonts w:ascii="Aptos" w:hAnsi="Aptos" w:cs="Calibri"/>
                <w:b/>
                <w:bCs/>
                <w:sz w:val="20"/>
                <w:szCs w:val="20"/>
              </w:rPr>
              <w:t>ILD</w:t>
            </w:r>
          </w:p>
        </w:tc>
        <w:tc>
          <w:tcPr>
            <w:tcW w:w="1440" w:type="dxa"/>
            <w:vAlign w:val="center"/>
          </w:tcPr>
          <w:p w14:paraId="583F7B32" w14:textId="77777777" w:rsidR="00A2320D" w:rsidRPr="005C2441" w:rsidRDefault="00A2320D" w:rsidP="005C2441">
            <w:pPr>
              <w:spacing w:after="0" w:line="240" w:lineRule="auto"/>
              <w:jc w:val="both"/>
              <w:rPr>
                <w:rFonts w:ascii="Aptos" w:eastAsia="Calibri" w:hAnsi="Aptos" w:cs="Calibri"/>
                <w:b/>
                <w:bCs/>
                <w:kern w:val="0"/>
                <w:sz w:val="20"/>
                <w:szCs w:val="20"/>
                <w14:ligatures w14:val="none"/>
              </w:rPr>
            </w:pPr>
            <w:r w:rsidRPr="005C2441">
              <w:rPr>
                <w:rFonts w:ascii="Aptos" w:hAnsi="Aptos" w:cs="Calibri"/>
                <w:b/>
                <w:bCs/>
                <w:sz w:val="20"/>
                <w:szCs w:val="20"/>
              </w:rPr>
              <w:t>Allocation totale (millions USD)</w:t>
            </w:r>
          </w:p>
        </w:tc>
        <w:tc>
          <w:tcPr>
            <w:tcW w:w="1350" w:type="dxa"/>
            <w:vAlign w:val="center"/>
          </w:tcPr>
          <w:p w14:paraId="16660DD3" w14:textId="77777777" w:rsidR="00A2320D" w:rsidRPr="005C2441" w:rsidRDefault="00A2320D" w:rsidP="005C2441">
            <w:pPr>
              <w:spacing w:after="0" w:line="240" w:lineRule="auto"/>
              <w:jc w:val="both"/>
              <w:rPr>
                <w:rFonts w:ascii="Aptos" w:eastAsia="Calibri" w:hAnsi="Aptos" w:cs="Calibri"/>
                <w:b/>
                <w:bCs/>
                <w:kern w:val="0"/>
                <w:sz w:val="20"/>
                <w:szCs w:val="20"/>
                <w14:ligatures w14:val="none"/>
              </w:rPr>
            </w:pPr>
            <w:r w:rsidRPr="005C2441">
              <w:rPr>
                <w:rFonts w:ascii="Aptos" w:hAnsi="Aptos" w:cs="Calibri"/>
                <w:b/>
                <w:bCs/>
                <w:sz w:val="20"/>
                <w:szCs w:val="20"/>
              </w:rPr>
              <w:t>IDA (millions USD)</w:t>
            </w:r>
          </w:p>
        </w:tc>
        <w:tc>
          <w:tcPr>
            <w:tcW w:w="1260" w:type="dxa"/>
            <w:vAlign w:val="center"/>
          </w:tcPr>
          <w:p w14:paraId="642D1744" w14:textId="77777777" w:rsidR="00A2320D" w:rsidRPr="005C2441" w:rsidRDefault="00A2320D" w:rsidP="005C2441">
            <w:pPr>
              <w:spacing w:after="0" w:line="240" w:lineRule="auto"/>
              <w:jc w:val="both"/>
              <w:rPr>
                <w:rFonts w:ascii="Aptos" w:eastAsia="Calibri" w:hAnsi="Aptos" w:cs="Calibri"/>
                <w:b/>
                <w:bCs/>
                <w:kern w:val="0"/>
                <w:sz w:val="20"/>
                <w:szCs w:val="20"/>
                <w14:ligatures w14:val="none"/>
              </w:rPr>
            </w:pPr>
            <w:r w:rsidRPr="005C2441">
              <w:rPr>
                <w:rFonts w:ascii="Aptos" w:hAnsi="Aptos" w:cs="Calibri"/>
                <w:b/>
                <w:bCs/>
                <w:sz w:val="20"/>
                <w:szCs w:val="20"/>
              </w:rPr>
              <w:t>GPE (millions USD)</w:t>
            </w:r>
          </w:p>
        </w:tc>
      </w:tr>
      <w:tr w:rsidR="00A2320D" w:rsidRPr="00D401FA" w14:paraId="58155423" w14:textId="77777777" w:rsidTr="00462E36">
        <w:tc>
          <w:tcPr>
            <w:tcW w:w="2430" w:type="dxa"/>
            <w:vAlign w:val="center"/>
          </w:tcPr>
          <w:p w14:paraId="7997A911" w14:textId="77777777" w:rsidR="00A2320D" w:rsidRPr="005C2441" w:rsidRDefault="00A2320D" w:rsidP="005C2441">
            <w:pPr>
              <w:spacing w:after="0" w:line="240" w:lineRule="auto"/>
              <w:rPr>
                <w:rFonts w:ascii="Aptos" w:eastAsia="Calibri" w:hAnsi="Aptos" w:cs="Calibri"/>
                <w:kern w:val="0"/>
                <w:sz w:val="20"/>
                <w:szCs w:val="20"/>
                <w14:ligatures w14:val="none"/>
              </w:rPr>
            </w:pPr>
            <w:r w:rsidRPr="005C2441">
              <w:rPr>
                <w:rFonts w:ascii="Aptos" w:hAnsi="Aptos" w:cs="Calibri"/>
                <w:sz w:val="20"/>
                <w:szCs w:val="20"/>
              </w:rPr>
              <w:t>Élargir l’accès au préscolaire et améliorer la préparation à la scolarité</w:t>
            </w:r>
          </w:p>
        </w:tc>
        <w:tc>
          <w:tcPr>
            <w:tcW w:w="3600" w:type="dxa"/>
            <w:vAlign w:val="center"/>
          </w:tcPr>
          <w:p w14:paraId="4A3DFC18" w14:textId="77777777" w:rsidR="00A2320D" w:rsidRPr="005C2441" w:rsidRDefault="00A2320D" w:rsidP="005C2441">
            <w:pPr>
              <w:spacing w:after="0" w:line="240" w:lineRule="auto"/>
              <w:rPr>
                <w:rFonts w:ascii="Aptos" w:eastAsia="Calibri" w:hAnsi="Aptos" w:cs="Calibri"/>
                <w:kern w:val="0"/>
                <w:sz w:val="20"/>
                <w:szCs w:val="20"/>
                <w14:ligatures w14:val="none"/>
              </w:rPr>
            </w:pPr>
            <w:r w:rsidRPr="005C2441">
              <w:rPr>
                <w:rFonts w:ascii="Aptos" w:hAnsi="Aptos" w:cs="Calibri"/>
                <w:sz w:val="20"/>
                <w:szCs w:val="20"/>
              </w:rPr>
              <w:t>ILD 1 : Nombre d’enfants âgés de cinq ans inscrits au préscolaire</w:t>
            </w:r>
          </w:p>
        </w:tc>
        <w:tc>
          <w:tcPr>
            <w:tcW w:w="1440" w:type="dxa"/>
            <w:vAlign w:val="center"/>
          </w:tcPr>
          <w:p w14:paraId="46FCF591"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7</w:t>
            </w:r>
          </w:p>
        </w:tc>
        <w:tc>
          <w:tcPr>
            <w:tcW w:w="1350" w:type="dxa"/>
            <w:vAlign w:val="center"/>
          </w:tcPr>
          <w:p w14:paraId="71659523"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0</w:t>
            </w:r>
          </w:p>
        </w:tc>
        <w:tc>
          <w:tcPr>
            <w:tcW w:w="1260" w:type="dxa"/>
            <w:vAlign w:val="center"/>
          </w:tcPr>
          <w:p w14:paraId="61175B45" w14:textId="77777777" w:rsidR="00A2320D" w:rsidRPr="005C2441" w:rsidRDefault="00A2320D" w:rsidP="005C2441">
            <w:pPr>
              <w:spacing w:after="0" w:line="240" w:lineRule="auto"/>
              <w:jc w:val="right"/>
              <w:rPr>
                <w:rFonts w:ascii="Aptos" w:eastAsia="Calibri" w:hAnsi="Aptos" w:cs="Calibri"/>
                <w:kern w:val="0"/>
                <w:sz w:val="20"/>
                <w:szCs w:val="20"/>
                <w14:ligatures w14:val="none"/>
              </w:rPr>
            </w:pPr>
            <w:r w:rsidRPr="005C2441">
              <w:rPr>
                <w:rFonts w:ascii="Aptos" w:hAnsi="Aptos" w:cs="Calibri"/>
                <w:sz w:val="20"/>
                <w:szCs w:val="20"/>
              </w:rPr>
              <w:t>7</w:t>
            </w:r>
          </w:p>
        </w:tc>
      </w:tr>
      <w:tr w:rsidR="00A2320D" w:rsidRPr="00D401FA" w14:paraId="42F612E5" w14:textId="77777777" w:rsidTr="00462E36">
        <w:tc>
          <w:tcPr>
            <w:tcW w:w="2430" w:type="dxa"/>
            <w:vMerge w:val="restart"/>
          </w:tcPr>
          <w:p w14:paraId="45499609" w14:textId="77777777" w:rsidR="00A2320D" w:rsidRPr="005C2441" w:rsidRDefault="00A2320D" w:rsidP="005C2441">
            <w:pPr>
              <w:spacing w:after="0" w:line="240" w:lineRule="auto"/>
              <w:rPr>
                <w:rFonts w:ascii="Aptos" w:eastAsia="Calibri" w:hAnsi="Aptos" w:cs="Calibri"/>
                <w:i/>
                <w:iCs/>
                <w:kern w:val="0"/>
                <w:sz w:val="20"/>
                <w:szCs w:val="20"/>
                <w14:ligatures w14:val="none"/>
              </w:rPr>
            </w:pPr>
          </w:p>
          <w:p w14:paraId="330DB083" w14:textId="77777777" w:rsidR="00A2320D" w:rsidRPr="005C2441" w:rsidRDefault="00A2320D" w:rsidP="005C2441">
            <w:pPr>
              <w:spacing w:after="0" w:line="240" w:lineRule="auto"/>
              <w:rPr>
                <w:rFonts w:ascii="Aptos" w:eastAsia="Calibri" w:hAnsi="Aptos" w:cs="Calibri"/>
                <w:i/>
                <w:iCs/>
                <w:kern w:val="0"/>
                <w:sz w:val="20"/>
                <w:szCs w:val="20"/>
                <w14:ligatures w14:val="none"/>
              </w:rPr>
            </w:pPr>
          </w:p>
          <w:p w14:paraId="2F3951E1" w14:textId="77777777" w:rsidR="00A2320D" w:rsidRPr="005C2441" w:rsidRDefault="00A2320D" w:rsidP="005C2441">
            <w:pPr>
              <w:spacing w:after="0" w:line="240" w:lineRule="auto"/>
              <w:rPr>
                <w:rFonts w:ascii="Aptos" w:eastAsia="Calibri" w:hAnsi="Aptos" w:cs="Calibri"/>
                <w:i/>
                <w:iCs/>
                <w:kern w:val="0"/>
                <w:sz w:val="20"/>
                <w:szCs w:val="20"/>
                <w14:ligatures w14:val="none"/>
              </w:rPr>
            </w:pPr>
            <w:r w:rsidRPr="005C2441">
              <w:rPr>
                <w:rFonts w:ascii="Aptos" w:hAnsi="Aptos" w:cs="Calibri"/>
                <w:sz w:val="20"/>
                <w:szCs w:val="20"/>
              </w:rPr>
              <w:t>Améliorer l’efficacité des enseignants</w:t>
            </w:r>
          </w:p>
        </w:tc>
        <w:tc>
          <w:tcPr>
            <w:tcW w:w="3600" w:type="dxa"/>
            <w:vAlign w:val="center"/>
          </w:tcPr>
          <w:p w14:paraId="4506F8BC" w14:textId="77777777" w:rsidR="00A2320D" w:rsidRPr="005C2441" w:rsidRDefault="00A2320D" w:rsidP="005C2441">
            <w:pPr>
              <w:spacing w:after="0" w:line="240" w:lineRule="auto"/>
              <w:rPr>
                <w:rFonts w:ascii="Aptos" w:eastAsia="Calibri" w:hAnsi="Aptos" w:cs="Calibri"/>
                <w:kern w:val="0"/>
                <w:sz w:val="20"/>
                <w:szCs w:val="20"/>
                <w14:ligatures w14:val="none"/>
              </w:rPr>
            </w:pPr>
            <w:r w:rsidRPr="005C2441">
              <w:rPr>
                <w:rFonts w:ascii="Aptos" w:hAnsi="Aptos" w:cs="Calibri"/>
                <w:sz w:val="20"/>
                <w:szCs w:val="20"/>
              </w:rPr>
              <w:t>ILD 2 : Nombre d’enseignants formés à l’application des approches pédagogiques modernes selon le nouveau modèle hybride</w:t>
            </w:r>
          </w:p>
        </w:tc>
        <w:tc>
          <w:tcPr>
            <w:tcW w:w="1440" w:type="dxa"/>
            <w:vAlign w:val="center"/>
          </w:tcPr>
          <w:p w14:paraId="37810F87"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4,5</w:t>
            </w:r>
          </w:p>
        </w:tc>
        <w:tc>
          <w:tcPr>
            <w:tcW w:w="1350" w:type="dxa"/>
            <w:vAlign w:val="center"/>
          </w:tcPr>
          <w:p w14:paraId="6D3D6F9A"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4,5</w:t>
            </w:r>
          </w:p>
        </w:tc>
        <w:tc>
          <w:tcPr>
            <w:tcW w:w="1260" w:type="dxa"/>
            <w:vAlign w:val="center"/>
          </w:tcPr>
          <w:p w14:paraId="68EF64AC" w14:textId="77777777" w:rsidR="00A2320D" w:rsidRPr="005C2441" w:rsidRDefault="00A2320D" w:rsidP="005C2441">
            <w:pPr>
              <w:spacing w:after="0" w:line="240" w:lineRule="auto"/>
              <w:jc w:val="right"/>
              <w:rPr>
                <w:rFonts w:ascii="Aptos" w:eastAsia="Calibri" w:hAnsi="Aptos" w:cs="Calibri"/>
                <w:kern w:val="0"/>
                <w:sz w:val="20"/>
                <w:szCs w:val="20"/>
                <w14:ligatures w14:val="none"/>
              </w:rPr>
            </w:pPr>
            <w:r w:rsidRPr="005C2441">
              <w:rPr>
                <w:rFonts w:ascii="Aptos" w:hAnsi="Aptos" w:cs="Calibri"/>
                <w:sz w:val="20"/>
                <w:szCs w:val="20"/>
              </w:rPr>
              <w:t>0</w:t>
            </w:r>
          </w:p>
        </w:tc>
      </w:tr>
      <w:tr w:rsidR="00A2320D" w:rsidRPr="00D401FA" w14:paraId="4BD8E392" w14:textId="77777777" w:rsidTr="00462E36">
        <w:tc>
          <w:tcPr>
            <w:tcW w:w="2430" w:type="dxa"/>
            <w:vMerge/>
          </w:tcPr>
          <w:p w14:paraId="753FB10E" w14:textId="77777777" w:rsidR="00A2320D" w:rsidRPr="005C2441" w:rsidRDefault="00A2320D" w:rsidP="005C2441">
            <w:pPr>
              <w:spacing w:after="0" w:line="240" w:lineRule="auto"/>
              <w:rPr>
                <w:rFonts w:ascii="Aptos" w:eastAsia="Calibri" w:hAnsi="Aptos" w:cs="Calibri"/>
                <w:i/>
                <w:iCs/>
                <w:kern w:val="0"/>
                <w:sz w:val="20"/>
                <w:szCs w:val="20"/>
                <w14:ligatures w14:val="none"/>
              </w:rPr>
            </w:pPr>
          </w:p>
        </w:tc>
        <w:tc>
          <w:tcPr>
            <w:tcW w:w="3600" w:type="dxa"/>
            <w:vAlign w:val="center"/>
          </w:tcPr>
          <w:p w14:paraId="27786C6F" w14:textId="77777777" w:rsidR="00A2320D" w:rsidRPr="005C2441" w:rsidRDefault="00A2320D" w:rsidP="005C2441">
            <w:pPr>
              <w:spacing w:after="0" w:line="240" w:lineRule="auto"/>
              <w:rPr>
                <w:rFonts w:ascii="Aptos" w:eastAsia="Calibri" w:hAnsi="Aptos" w:cs="Calibri"/>
                <w:kern w:val="0"/>
                <w:sz w:val="20"/>
                <w:szCs w:val="20"/>
                <w14:ligatures w14:val="none"/>
              </w:rPr>
            </w:pPr>
            <w:r w:rsidRPr="005C2441">
              <w:rPr>
                <w:rFonts w:ascii="Aptos" w:hAnsi="Aptos" w:cs="Calibri"/>
                <w:sz w:val="20"/>
                <w:szCs w:val="20"/>
              </w:rPr>
              <w:t>ILD 3 : Nombre d’enseignants formés à la remédiation dans les matières fondamentales (littératie et numératie)</w:t>
            </w:r>
          </w:p>
        </w:tc>
        <w:tc>
          <w:tcPr>
            <w:tcW w:w="1440" w:type="dxa"/>
            <w:vAlign w:val="center"/>
          </w:tcPr>
          <w:p w14:paraId="51E4AC06"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4,2</w:t>
            </w:r>
          </w:p>
        </w:tc>
        <w:tc>
          <w:tcPr>
            <w:tcW w:w="1350" w:type="dxa"/>
            <w:vAlign w:val="center"/>
          </w:tcPr>
          <w:p w14:paraId="4CA849E1"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0</w:t>
            </w:r>
          </w:p>
        </w:tc>
        <w:tc>
          <w:tcPr>
            <w:tcW w:w="1260" w:type="dxa"/>
            <w:vAlign w:val="center"/>
          </w:tcPr>
          <w:p w14:paraId="6F27258F" w14:textId="77777777" w:rsidR="00A2320D" w:rsidRPr="005C2441" w:rsidRDefault="00A2320D" w:rsidP="005C2441">
            <w:pPr>
              <w:spacing w:after="0" w:line="240" w:lineRule="auto"/>
              <w:jc w:val="right"/>
              <w:rPr>
                <w:rFonts w:ascii="Aptos" w:eastAsia="Calibri" w:hAnsi="Aptos" w:cs="Calibri"/>
                <w:kern w:val="0"/>
                <w:sz w:val="20"/>
                <w:szCs w:val="20"/>
                <w14:ligatures w14:val="none"/>
              </w:rPr>
            </w:pPr>
            <w:r w:rsidRPr="005C2441">
              <w:rPr>
                <w:rFonts w:ascii="Aptos" w:hAnsi="Aptos" w:cs="Calibri"/>
                <w:sz w:val="20"/>
                <w:szCs w:val="20"/>
              </w:rPr>
              <w:t>4,2</w:t>
            </w:r>
          </w:p>
        </w:tc>
      </w:tr>
      <w:tr w:rsidR="00A2320D" w:rsidRPr="00D401FA" w14:paraId="3B28520E" w14:textId="77777777" w:rsidTr="00462E36">
        <w:tc>
          <w:tcPr>
            <w:tcW w:w="2430" w:type="dxa"/>
            <w:vAlign w:val="center"/>
          </w:tcPr>
          <w:p w14:paraId="5A9F455C" w14:textId="77777777" w:rsidR="00A2320D" w:rsidRPr="005C2441" w:rsidRDefault="00A2320D" w:rsidP="005C2441">
            <w:pPr>
              <w:spacing w:after="0" w:line="240" w:lineRule="auto"/>
              <w:rPr>
                <w:rFonts w:ascii="Aptos" w:eastAsia="Calibri" w:hAnsi="Aptos" w:cs="Calibri"/>
                <w:i/>
                <w:iCs/>
                <w:kern w:val="0"/>
                <w:sz w:val="20"/>
                <w:szCs w:val="20"/>
                <w14:ligatures w14:val="none"/>
              </w:rPr>
            </w:pPr>
            <w:r w:rsidRPr="005C2441">
              <w:rPr>
                <w:rFonts w:ascii="Aptos" w:hAnsi="Aptos" w:cs="Calibri"/>
                <w:sz w:val="20"/>
                <w:szCs w:val="20"/>
              </w:rPr>
              <w:t>Réduire la pauvreté des apprentissages en améliorant les compétences en littératie et en numératie</w:t>
            </w:r>
          </w:p>
        </w:tc>
        <w:tc>
          <w:tcPr>
            <w:tcW w:w="3600" w:type="dxa"/>
            <w:vAlign w:val="center"/>
          </w:tcPr>
          <w:p w14:paraId="2B34B4C9" w14:textId="77777777" w:rsidR="00A2320D" w:rsidRPr="005C2441" w:rsidRDefault="00A2320D" w:rsidP="005C2441">
            <w:pPr>
              <w:spacing w:after="0" w:line="240" w:lineRule="auto"/>
              <w:rPr>
                <w:rFonts w:ascii="Aptos" w:eastAsia="Calibri" w:hAnsi="Aptos" w:cs="Calibri"/>
                <w:kern w:val="0"/>
                <w:sz w:val="20"/>
                <w:szCs w:val="20"/>
                <w14:ligatures w14:val="none"/>
              </w:rPr>
            </w:pPr>
            <w:r w:rsidRPr="005C2441">
              <w:rPr>
                <w:rFonts w:ascii="Aptos" w:hAnsi="Aptos" w:cs="Calibri"/>
                <w:sz w:val="20"/>
                <w:szCs w:val="20"/>
              </w:rPr>
              <w:t>ILD 4 : Pourcentage d’élèves de 4e année maîtrisant les compétences en littératie et en numératie</w:t>
            </w:r>
          </w:p>
        </w:tc>
        <w:tc>
          <w:tcPr>
            <w:tcW w:w="1440" w:type="dxa"/>
            <w:vAlign w:val="center"/>
          </w:tcPr>
          <w:p w14:paraId="20085F1C"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4</w:t>
            </w:r>
          </w:p>
        </w:tc>
        <w:tc>
          <w:tcPr>
            <w:tcW w:w="1350" w:type="dxa"/>
            <w:vAlign w:val="center"/>
          </w:tcPr>
          <w:p w14:paraId="7C3571B6"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4</w:t>
            </w:r>
          </w:p>
        </w:tc>
        <w:tc>
          <w:tcPr>
            <w:tcW w:w="1260" w:type="dxa"/>
            <w:vAlign w:val="center"/>
          </w:tcPr>
          <w:p w14:paraId="29584A54" w14:textId="77777777" w:rsidR="00A2320D" w:rsidRPr="005C2441" w:rsidRDefault="00A2320D" w:rsidP="005C2441">
            <w:pPr>
              <w:spacing w:after="0" w:line="240" w:lineRule="auto"/>
              <w:jc w:val="right"/>
              <w:rPr>
                <w:rFonts w:ascii="Aptos" w:eastAsia="Calibri" w:hAnsi="Aptos" w:cs="Calibri"/>
                <w:kern w:val="0"/>
                <w:sz w:val="20"/>
                <w:szCs w:val="20"/>
                <w14:ligatures w14:val="none"/>
              </w:rPr>
            </w:pPr>
            <w:r w:rsidRPr="005C2441">
              <w:rPr>
                <w:rFonts w:ascii="Aptos" w:hAnsi="Aptos" w:cs="Calibri"/>
                <w:sz w:val="20"/>
                <w:szCs w:val="20"/>
              </w:rPr>
              <w:t>0</w:t>
            </w:r>
          </w:p>
        </w:tc>
      </w:tr>
      <w:tr w:rsidR="00A2320D" w:rsidRPr="00D401FA" w14:paraId="16A10284" w14:textId="77777777" w:rsidTr="00462E36">
        <w:tc>
          <w:tcPr>
            <w:tcW w:w="2430" w:type="dxa"/>
            <w:vAlign w:val="center"/>
          </w:tcPr>
          <w:p w14:paraId="14E0BF40" w14:textId="77777777" w:rsidR="00A2320D" w:rsidRPr="005C2441" w:rsidRDefault="00A2320D" w:rsidP="005C2441">
            <w:pPr>
              <w:spacing w:after="0" w:line="240" w:lineRule="auto"/>
              <w:rPr>
                <w:rFonts w:ascii="Aptos" w:eastAsia="Calibri" w:hAnsi="Aptos" w:cs="Calibri"/>
                <w:i/>
                <w:iCs/>
                <w:kern w:val="0"/>
                <w:sz w:val="20"/>
                <w:szCs w:val="20"/>
                <w14:ligatures w14:val="none"/>
              </w:rPr>
            </w:pPr>
            <w:r w:rsidRPr="005C2441">
              <w:rPr>
                <w:rFonts w:ascii="Aptos" w:hAnsi="Aptos" w:cs="Calibri"/>
                <w:sz w:val="20"/>
                <w:szCs w:val="20"/>
              </w:rPr>
              <w:t>Améliorer la progression scolaire des élèves du primaire vers le secondaire</w:t>
            </w:r>
          </w:p>
        </w:tc>
        <w:tc>
          <w:tcPr>
            <w:tcW w:w="3600" w:type="dxa"/>
            <w:vAlign w:val="center"/>
          </w:tcPr>
          <w:p w14:paraId="0D15BDC4" w14:textId="77777777" w:rsidR="00A2320D" w:rsidRPr="005C2441" w:rsidRDefault="00A2320D" w:rsidP="005C2441">
            <w:pPr>
              <w:spacing w:after="0" w:line="240" w:lineRule="auto"/>
              <w:rPr>
                <w:rFonts w:ascii="Aptos" w:eastAsia="Calibri" w:hAnsi="Aptos" w:cs="Calibri"/>
                <w:kern w:val="0"/>
                <w:sz w:val="20"/>
                <w:szCs w:val="20"/>
                <w14:ligatures w14:val="none"/>
              </w:rPr>
            </w:pPr>
            <w:r w:rsidRPr="005C2441">
              <w:rPr>
                <w:rFonts w:ascii="Aptos" w:hAnsi="Aptos" w:cs="Calibri"/>
                <w:sz w:val="20"/>
                <w:szCs w:val="20"/>
              </w:rPr>
              <w:t>ILD 5 : Taux de transition du primaire vers le premier cycle du secondaire</w:t>
            </w:r>
          </w:p>
        </w:tc>
        <w:tc>
          <w:tcPr>
            <w:tcW w:w="1440" w:type="dxa"/>
            <w:shd w:val="clear" w:color="auto" w:fill="FFFFFF"/>
            <w:vAlign w:val="center"/>
          </w:tcPr>
          <w:p w14:paraId="161DAE92"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3</w:t>
            </w:r>
          </w:p>
        </w:tc>
        <w:tc>
          <w:tcPr>
            <w:tcW w:w="1350" w:type="dxa"/>
            <w:shd w:val="clear" w:color="auto" w:fill="FFFFFF"/>
            <w:vAlign w:val="center"/>
          </w:tcPr>
          <w:p w14:paraId="0BBECA85"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3</w:t>
            </w:r>
          </w:p>
        </w:tc>
        <w:tc>
          <w:tcPr>
            <w:tcW w:w="1260" w:type="dxa"/>
            <w:shd w:val="clear" w:color="auto" w:fill="FFFFFF"/>
            <w:vAlign w:val="center"/>
          </w:tcPr>
          <w:p w14:paraId="316BFBA0" w14:textId="77777777" w:rsidR="00A2320D" w:rsidRPr="005C2441" w:rsidRDefault="00A2320D" w:rsidP="005C2441">
            <w:pPr>
              <w:spacing w:after="0" w:line="240" w:lineRule="auto"/>
              <w:jc w:val="right"/>
              <w:rPr>
                <w:rFonts w:ascii="Aptos" w:eastAsia="Calibri" w:hAnsi="Aptos" w:cs="Calibri"/>
                <w:kern w:val="0"/>
                <w:sz w:val="20"/>
                <w:szCs w:val="20"/>
                <w14:ligatures w14:val="none"/>
              </w:rPr>
            </w:pPr>
            <w:r w:rsidRPr="005C2441">
              <w:rPr>
                <w:rFonts w:ascii="Aptos" w:hAnsi="Aptos" w:cs="Calibri"/>
                <w:sz w:val="20"/>
                <w:szCs w:val="20"/>
              </w:rPr>
              <w:t>0</w:t>
            </w:r>
          </w:p>
        </w:tc>
      </w:tr>
      <w:tr w:rsidR="00A2320D" w:rsidRPr="00D401FA" w14:paraId="0C58553A" w14:textId="77777777" w:rsidTr="00462E36">
        <w:tc>
          <w:tcPr>
            <w:tcW w:w="2430" w:type="dxa"/>
            <w:vAlign w:val="center"/>
          </w:tcPr>
          <w:p w14:paraId="39EA502E" w14:textId="77777777" w:rsidR="00A2320D" w:rsidRPr="005C2441" w:rsidRDefault="00A2320D" w:rsidP="005C2441">
            <w:pPr>
              <w:spacing w:after="0" w:line="240" w:lineRule="auto"/>
              <w:rPr>
                <w:rFonts w:ascii="Aptos" w:eastAsia="Calibri" w:hAnsi="Aptos" w:cs="Calibri"/>
                <w:i/>
                <w:iCs/>
                <w:kern w:val="0"/>
                <w:sz w:val="20"/>
                <w:szCs w:val="20"/>
                <w14:ligatures w14:val="none"/>
              </w:rPr>
            </w:pPr>
            <w:r w:rsidRPr="005C2441">
              <w:rPr>
                <w:rFonts w:ascii="Aptos" w:hAnsi="Aptos" w:cs="Calibri"/>
                <w:sz w:val="20"/>
                <w:szCs w:val="20"/>
              </w:rPr>
              <w:t>Encourager et mesurer la scolarisation des enfants réfugiés dans le système national et renforcer la prestation des services éducatifs dans les communautés d’accueil</w:t>
            </w:r>
          </w:p>
        </w:tc>
        <w:tc>
          <w:tcPr>
            <w:tcW w:w="3600" w:type="dxa"/>
            <w:vAlign w:val="center"/>
          </w:tcPr>
          <w:p w14:paraId="6D12C076" w14:textId="77777777" w:rsidR="00A2320D" w:rsidRPr="005C2441" w:rsidRDefault="00A2320D" w:rsidP="005C2441">
            <w:pPr>
              <w:spacing w:after="0" w:line="240" w:lineRule="auto"/>
              <w:rPr>
                <w:rFonts w:ascii="Aptos" w:eastAsia="Calibri" w:hAnsi="Aptos" w:cs="Calibri"/>
                <w:kern w:val="0"/>
                <w:sz w:val="20"/>
                <w:szCs w:val="20"/>
                <w14:ligatures w14:val="none"/>
              </w:rPr>
            </w:pPr>
            <w:r w:rsidRPr="005C2441">
              <w:rPr>
                <w:rFonts w:ascii="Aptos" w:hAnsi="Aptos" w:cs="Calibri"/>
                <w:sz w:val="20"/>
                <w:szCs w:val="20"/>
              </w:rPr>
              <w:t xml:space="preserve">ILD 6 : Nombre d’enfants réfugiés et d’enfants des communautés d’accueil </w:t>
            </w:r>
            <w:r w:rsidRPr="005C2441">
              <w:rPr>
                <w:rFonts w:ascii="Aptos" w:hAnsi="Aptos" w:cs="Calibri"/>
                <w:b/>
                <w:bCs/>
                <w:sz w:val="20"/>
                <w:szCs w:val="20"/>
              </w:rPr>
              <w:t>scolarisés dans le système éducatif national</w:t>
            </w:r>
            <w:r w:rsidRPr="005C2441">
              <w:rPr>
                <w:rFonts w:ascii="Aptos" w:hAnsi="Aptos" w:cs="Calibri"/>
                <w:sz w:val="20"/>
                <w:szCs w:val="20"/>
              </w:rPr>
              <w:t xml:space="preserve"> dans les zones d’accueil de réfugiés</w:t>
            </w:r>
          </w:p>
        </w:tc>
        <w:tc>
          <w:tcPr>
            <w:tcW w:w="1440" w:type="dxa"/>
            <w:shd w:val="clear" w:color="auto" w:fill="FFFFFF"/>
            <w:vAlign w:val="center"/>
          </w:tcPr>
          <w:p w14:paraId="036E6136"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10</w:t>
            </w:r>
          </w:p>
        </w:tc>
        <w:tc>
          <w:tcPr>
            <w:tcW w:w="1350" w:type="dxa"/>
            <w:shd w:val="clear" w:color="auto" w:fill="FFFFFF"/>
            <w:vAlign w:val="center"/>
          </w:tcPr>
          <w:p w14:paraId="3C940F49"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10</w:t>
            </w:r>
          </w:p>
        </w:tc>
        <w:tc>
          <w:tcPr>
            <w:tcW w:w="1260" w:type="dxa"/>
            <w:shd w:val="clear" w:color="auto" w:fill="FFFFFF"/>
            <w:vAlign w:val="center"/>
          </w:tcPr>
          <w:p w14:paraId="171B45FA" w14:textId="77777777" w:rsidR="00A2320D" w:rsidRPr="005C2441" w:rsidRDefault="00A2320D" w:rsidP="005C2441">
            <w:pPr>
              <w:spacing w:after="0" w:line="240" w:lineRule="auto"/>
              <w:jc w:val="right"/>
              <w:rPr>
                <w:rFonts w:ascii="Aptos" w:eastAsia="Calibri" w:hAnsi="Aptos" w:cs="Calibri"/>
                <w:kern w:val="0"/>
                <w:sz w:val="20"/>
                <w:szCs w:val="20"/>
                <w14:ligatures w14:val="none"/>
              </w:rPr>
            </w:pPr>
            <w:r w:rsidRPr="005C2441">
              <w:rPr>
                <w:rFonts w:ascii="Aptos" w:hAnsi="Aptos" w:cs="Calibri"/>
                <w:sz w:val="20"/>
                <w:szCs w:val="20"/>
              </w:rPr>
              <w:t>0</w:t>
            </w:r>
          </w:p>
        </w:tc>
      </w:tr>
      <w:tr w:rsidR="00A2320D" w:rsidRPr="00D401FA" w14:paraId="25B31BE5" w14:textId="77777777" w:rsidTr="00462E36">
        <w:tc>
          <w:tcPr>
            <w:tcW w:w="2430" w:type="dxa"/>
            <w:vAlign w:val="center"/>
          </w:tcPr>
          <w:p w14:paraId="33CA3789" w14:textId="77777777" w:rsidR="00A2320D" w:rsidRPr="005C2441" w:rsidRDefault="00A2320D" w:rsidP="005C2441">
            <w:pPr>
              <w:spacing w:after="0" w:line="240" w:lineRule="auto"/>
              <w:rPr>
                <w:rFonts w:ascii="Aptos" w:eastAsia="Calibri" w:hAnsi="Aptos" w:cs="Calibri"/>
                <w:i/>
                <w:iCs/>
                <w:kern w:val="0"/>
                <w:sz w:val="20"/>
                <w:szCs w:val="20"/>
                <w14:ligatures w14:val="none"/>
              </w:rPr>
            </w:pPr>
            <w:r w:rsidRPr="005C2441">
              <w:rPr>
                <w:rFonts w:ascii="Aptos" w:hAnsi="Aptos" w:cs="Calibri"/>
                <w:sz w:val="20"/>
                <w:szCs w:val="20"/>
              </w:rPr>
              <w:t xml:space="preserve">Promouvoir une éducation inclusive en créant des </w:t>
            </w:r>
            <w:r w:rsidRPr="005C2441">
              <w:rPr>
                <w:rFonts w:ascii="Aptos" w:hAnsi="Aptos" w:cs="Calibri"/>
                <w:sz w:val="20"/>
                <w:szCs w:val="20"/>
              </w:rPr>
              <w:lastRenderedPageBreak/>
              <w:t>environnements scolaires accessibles et sensibles au genre</w:t>
            </w:r>
          </w:p>
        </w:tc>
        <w:tc>
          <w:tcPr>
            <w:tcW w:w="3600" w:type="dxa"/>
            <w:vAlign w:val="center"/>
          </w:tcPr>
          <w:p w14:paraId="6FC155B6" w14:textId="77777777" w:rsidR="00A2320D" w:rsidRPr="005C2441" w:rsidRDefault="00A2320D" w:rsidP="005C2441">
            <w:pPr>
              <w:spacing w:after="0" w:line="240" w:lineRule="auto"/>
              <w:rPr>
                <w:rFonts w:ascii="Aptos" w:eastAsia="Calibri" w:hAnsi="Aptos" w:cs="Calibri"/>
                <w:kern w:val="0"/>
                <w:sz w:val="20"/>
                <w:szCs w:val="20"/>
                <w14:ligatures w14:val="none"/>
              </w:rPr>
            </w:pPr>
            <w:r w:rsidRPr="005C2441">
              <w:rPr>
                <w:rFonts w:ascii="Aptos" w:hAnsi="Aptos" w:cs="Calibri"/>
                <w:sz w:val="20"/>
                <w:szCs w:val="20"/>
              </w:rPr>
              <w:lastRenderedPageBreak/>
              <w:t xml:space="preserve">ILD 7 : Nombre d’établissements secondaires inclusifs, sensibles au </w:t>
            </w:r>
            <w:r w:rsidRPr="005C2441">
              <w:rPr>
                <w:rFonts w:ascii="Aptos" w:hAnsi="Aptos" w:cs="Calibri"/>
                <w:sz w:val="20"/>
                <w:szCs w:val="20"/>
              </w:rPr>
              <w:lastRenderedPageBreak/>
              <w:t>genre et résilients face au climat, construits</w:t>
            </w:r>
          </w:p>
        </w:tc>
        <w:tc>
          <w:tcPr>
            <w:tcW w:w="1440" w:type="dxa"/>
            <w:shd w:val="clear" w:color="auto" w:fill="FFFFFF"/>
            <w:vAlign w:val="center"/>
          </w:tcPr>
          <w:p w14:paraId="67022A3D"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lastRenderedPageBreak/>
              <w:t>7</w:t>
            </w:r>
          </w:p>
        </w:tc>
        <w:tc>
          <w:tcPr>
            <w:tcW w:w="1350" w:type="dxa"/>
            <w:shd w:val="clear" w:color="auto" w:fill="FFFFFF"/>
            <w:vAlign w:val="center"/>
          </w:tcPr>
          <w:p w14:paraId="591B6191"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7</w:t>
            </w:r>
          </w:p>
        </w:tc>
        <w:tc>
          <w:tcPr>
            <w:tcW w:w="1260" w:type="dxa"/>
            <w:shd w:val="clear" w:color="auto" w:fill="FFFFFF"/>
            <w:vAlign w:val="center"/>
          </w:tcPr>
          <w:p w14:paraId="0A7AD7BD" w14:textId="77777777" w:rsidR="00A2320D" w:rsidRPr="005C2441" w:rsidRDefault="00A2320D" w:rsidP="005C2441">
            <w:pPr>
              <w:spacing w:after="0" w:line="240" w:lineRule="auto"/>
              <w:jc w:val="right"/>
              <w:rPr>
                <w:rFonts w:ascii="Aptos" w:eastAsia="Calibri" w:hAnsi="Aptos" w:cs="Calibri"/>
                <w:kern w:val="0"/>
                <w:sz w:val="20"/>
                <w:szCs w:val="20"/>
                <w14:ligatures w14:val="none"/>
              </w:rPr>
            </w:pPr>
            <w:r w:rsidRPr="005C2441">
              <w:rPr>
                <w:rFonts w:ascii="Aptos" w:hAnsi="Aptos" w:cs="Calibri"/>
                <w:sz w:val="20"/>
                <w:szCs w:val="20"/>
              </w:rPr>
              <w:t>0</w:t>
            </w:r>
          </w:p>
        </w:tc>
      </w:tr>
      <w:tr w:rsidR="00A2320D" w:rsidRPr="00D401FA" w14:paraId="354CFDA2" w14:textId="77777777" w:rsidTr="00462E36">
        <w:tc>
          <w:tcPr>
            <w:tcW w:w="2430" w:type="dxa"/>
            <w:vAlign w:val="center"/>
          </w:tcPr>
          <w:p w14:paraId="6341D670" w14:textId="77777777" w:rsidR="00A2320D" w:rsidRPr="005C2441" w:rsidRDefault="00A2320D" w:rsidP="005C2441">
            <w:pPr>
              <w:spacing w:after="0" w:line="240" w:lineRule="auto"/>
              <w:rPr>
                <w:rFonts w:ascii="Aptos" w:eastAsia="Calibri" w:hAnsi="Aptos" w:cs="Calibri"/>
                <w:i/>
                <w:iCs/>
                <w:kern w:val="0"/>
                <w:sz w:val="20"/>
                <w:szCs w:val="20"/>
                <w14:ligatures w14:val="none"/>
              </w:rPr>
            </w:pPr>
            <w:r w:rsidRPr="005C2441">
              <w:rPr>
                <w:rFonts w:ascii="Aptos" w:hAnsi="Aptos" w:cs="Calibri"/>
                <w:sz w:val="20"/>
                <w:szCs w:val="20"/>
              </w:rPr>
              <w:t>Accroître l’accès et améliorer la rétention des filles dans l’enseignement secondaire</w:t>
            </w:r>
          </w:p>
        </w:tc>
        <w:tc>
          <w:tcPr>
            <w:tcW w:w="3600" w:type="dxa"/>
            <w:vAlign w:val="center"/>
          </w:tcPr>
          <w:p w14:paraId="6FCC7401" w14:textId="77777777" w:rsidR="00A2320D" w:rsidRPr="005C2441" w:rsidRDefault="00A2320D" w:rsidP="005C2441">
            <w:pPr>
              <w:spacing w:after="0" w:line="240" w:lineRule="auto"/>
              <w:rPr>
                <w:rFonts w:ascii="Aptos" w:eastAsia="Calibri" w:hAnsi="Aptos" w:cs="Calibri"/>
                <w:kern w:val="0"/>
                <w:sz w:val="20"/>
                <w:szCs w:val="20"/>
                <w14:ligatures w14:val="none"/>
              </w:rPr>
            </w:pPr>
            <w:r w:rsidRPr="005C2441">
              <w:rPr>
                <w:rFonts w:ascii="Aptos" w:hAnsi="Aptos" w:cs="Calibri"/>
                <w:sz w:val="20"/>
                <w:szCs w:val="20"/>
              </w:rPr>
              <w:t>ILD 8 : Taux d’achèvement du second cycle du secondaire chez les filles</w:t>
            </w:r>
          </w:p>
        </w:tc>
        <w:tc>
          <w:tcPr>
            <w:tcW w:w="1440" w:type="dxa"/>
            <w:shd w:val="clear" w:color="auto" w:fill="FFFFFF"/>
            <w:vAlign w:val="center"/>
          </w:tcPr>
          <w:p w14:paraId="118B4B18"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3,5</w:t>
            </w:r>
          </w:p>
        </w:tc>
        <w:tc>
          <w:tcPr>
            <w:tcW w:w="1350" w:type="dxa"/>
            <w:shd w:val="clear" w:color="auto" w:fill="FFFFFF"/>
            <w:vAlign w:val="center"/>
          </w:tcPr>
          <w:p w14:paraId="27CC8D98"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3,5</w:t>
            </w:r>
          </w:p>
        </w:tc>
        <w:tc>
          <w:tcPr>
            <w:tcW w:w="1260" w:type="dxa"/>
            <w:shd w:val="clear" w:color="auto" w:fill="FFFFFF"/>
            <w:vAlign w:val="center"/>
          </w:tcPr>
          <w:p w14:paraId="6D60CAB2" w14:textId="77777777" w:rsidR="00A2320D" w:rsidRPr="005C2441" w:rsidRDefault="00A2320D" w:rsidP="005C2441">
            <w:pPr>
              <w:spacing w:after="0" w:line="240" w:lineRule="auto"/>
              <w:jc w:val="right"/>
              <w:rPr>
                <w:rFonts w:ascii="Aptos" w:eastAsia="Calibri" w:hAnsi="Aptos" w:cs="Calibri"/>
                <w:kern w:val="0"/>
                <w:sz w:val="20"/>
                <w:szCs w:val="20"/>
                <w14:ligatures w14:val="none"/>
              </w:rPr>
            </w:pPr>
            <w:r w:rsidRPr="005C2441">
              <w:rPr>
                <w:rFonts w:ascii="Aptos" w:hAnsi="Aptos" w:cs="Calibri"/>
                <w:sz w:val="20"/>
                <w:szCs w:val="20"/>
              </w:rPr>
              <w:t>0</w:t>
            </w:r>
          </w:p>
        </w:tc>
      </w:tr>
      <w:tr w:rsidR="00A2320D" w:rsidRPr="00D401FA" w14:paraId="3FCBE533" w14:textId="77777777" w:rsidTr="00462E36">
        <w:tc>
          <w:tcPr>
            <w:tcW w:w="2430" w:type="dxa"/>
            <w:vAlign w:val="center"/>
          </w:tcPr>
          <w:p w14:paraId="65AB0A23" w14:textId="77777777" w:rsidR="00A2320D" w:rsidRPr="005C2441" w:rsidRDefault="00A2320D" w:rsidP="005C2441">
            <w:pPr>
              <w:spacing w:after="0" w:line="240" w:lineRule="auto"/>
              <w:rPr>
                <w:rFonts w:ascii="Aptos" w:eastAsia="Calibri" w:hAnsi="Aptos" w:cs="Calibri"/>
                <w:i/>
                <w:iCs/>
                <w:kern w:val="0"/>
                <w:sz w:val="20"/>
                <w:szCs w:val="20"/>
                <w14:ligatures w14:val="none"/>
              </w:rPr>
            </w:pPr>
            <w:r w:rsidRPr="005C2441">
              <w:rPr>
                <w:rFonts w:ascii="Aptos" w:hAnsi="Aptos" w:cs="Calibri"/>
                <w:sz w:val="20"/>
                <w:szCs w:val="20"/>
              </w:rPr>
              <w:t>Renforcer la prise de décision fondée sur des données probantes grâce à des données de qualité et disponibles en temps utile</w:t>
            </w:r>
          </w:p>
        </w:tc>
        <w:tc>
          <w:tcPr>
            <w:tcW w:w="3600" w:type="dxa"/>
            <w:vAlign w:val="center"/>
          </w:tcPr>
          <w:p w14:paraId="6DB0DC32" w14:textId="77777777" w:rsidR="00A2320D" w:rsidRPr="005C2441" w:rsidRDefault="00A2320D" w:rsidP="005C2441">
            <w:pPr>
              <w:spacing w:after="0" w:line="240" w:lineRule="auto"/>
              <w:rPr>
                <w:rFonts w:ascii="Aptos" w:eastAsia="Calibri" w:hAnsi="Aptos" w:cs="Calibri"/>
                <w:kern w:val="0"/>
                <w:sz w:val="20"/>
                <w:szCs w:val="20"/>
                <w14:ligatures w14:val="none"/>
              </w:rPr>
            </w:pPr>
            <w:r w:rsidRPr="005C2441">
              <w:rPr>
                <w:rFonts w:ascii="Aptos" w:hAnsi="Aptos" w:cs="Calibri"/>
                <w:sz w:val="20"/>
                <w:szCs w:val="20"/>
              </w:rPr>
              <w:t>ILD 9 : Nombre d’annuaires statistiques produits par SIRAGE et publiés sur le site web du ministère</w:t>
            </w:r>
          </w:p>
        </w:tc>
        <w:tc>
          <w:tcPr>
            <w:tcW w:w="1440" w:type="dxa"/>
            <w:shd w:val="clear" w:color="auto" w:fill="FFFFFF"/>
            <w:vAlign w:val="center"/>
          </w:tcPr>
          <w:p w14:paraId="34FC5131"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3</w:t>
            </w:r>
          </w:p>
        </w:tc>
        <w:tc>
          <w:tcPr>
            <w:tcW w:w="1350" w:type="dxa"/>
            <w:shd w:val="clear" w:color="auto" w:fill="FFFFFF"/>
            <w:vAlign w:val="center"/>
          </w:tcPr>
          <w:p w14:paraId="4EC39559"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3</w:t>
            </w:r>
          </w:p>
        </w:tc>
        <w:tc>
          <w:tcPr>
            <w:tcW w:w="1260" w:type="dxa"/>
            <w:shd w:val="clear" w:color="auto" w:fill="FFFFFF"/>
            <w:vAlign w:val="center"/>
          </w:tcPr>
          <w:p w14:paraId="40455B49" w14:textId="77777777" w:rsidR="00A2320D" w:rsidRPr="005C2441" w:rsidRDefault="00A2320D" w:rsidP="005C2441">
            <w:pPr>
              <w:spacing w:after="0" w:line="240" w:lineRule="auto"/>
              <w:jc w:val="right"/>
              <w:rPr>
                <w:rFonts w:ascii="Aptos" w:eastAsia="Calibri" w:hAnsi="Aptos" w:cs="Calibri"/>
                <w:kern w:val="0"/>
                <w:sz w:val="20"/>
                <w:szCs w:val="20"/>
                <w14:ligatures w14:val="none"/>
              </w:rPr>
            </w:pPr>
            <w:r w:rsidRPr="005C2441">
              <w:rPr>
                <w:rFonts w:ascii="Aptos" w:hAnsi="Aptos" w:cs="Calibri"/>
                <w:sz w:val="20"/>
                <w:szCs w:val="20"/>
              </w:rPr>
              <w:t>0</w:t>
            </w:r>
          </w:p>
        </w:tc>
      </w:tr>
      <w:tr w:rsidR="00A2320D" w:rsidRPr="00D401FA" w14:paraId="177D6E6B" w14:textId="77777777" w:rsidTr="00462E36">
        <w:tc>
          <w:tcPr>
            <w:tcW w:w="2430" w:type="dxa"/>
            <w:vAlign w:val="center"/>
          </w:tcPr>
          <w:p w14:paraId="0C249BAA" w14:textId="77777777" w:rsidR="00A2320D" w:rsidRPr="005C2441" w:rsidRDefault="00A2320D" w:rsidP="005C2441">
            <w:pPr>
              <w:spacing w:after="0" w:line="240" w:lineRule="auto"/>
              <w:rPr>
                <w:rFonts w:ascii="Aptos" w:eastAsia="Calibri" w:hAnsi="Aptos" w:cs="Calibri"/>
                <w:i/>
                <w:iCs/>
                <w:kern w:val="0"/>
                <w:sz w:val="20"/>
                <w:szCs w:val="20"/>
                <w14:ligatures w14:val="none"/>
              </w:rPr>
            </w:pPr>
            <w:r w:rsidRPr="005C2441">
              <w:rPr>
                <w:rFonts w:ascii="Aptos" w:hAnsi="Aptos" w:cs="Calibri"/>
                <w:sz w:val="20"/>
                <w:szCs w:val="20"/>
              </w:rPr>
              <w:t>Renforcer la gestion scolaire et la participation communautaire</w:t>
            </w:r>
          </w:p>
        </w:tc>
        <w:tc>
          <w:tcPr>
            <w:tcW w:w="3600" w:type="dxa"/>
            <w:vAlign w:val="center"/>
          </w:tcPr>
          <w:p w14:paraId="73747CD5" w14:textId="77777777" w:rsidR="00A2320D" w:rsidRPr="005C2441" w:rsidRDefault="00A2320D" w:rsidP="005C2441">
            <w:pPr>
              <w:spacing w:after="0" w:line="240" w:lineRule="auto"/>
              <w:rPr>
                <w:rFonts w:ascii="Aptos" w:eastAsia="Calibri" w:hAnsi="Aptos" w:cs="Calibri"/>
                <w:kern w:val="0"/>
                <w:sz w:val="20"/>
                <w:szCs w:val="20"/>
                <w14:ligatures w14:val="none"/>
              </w:rPr>
            </w:pPr>
            <w:r w:rsidRPr="005C2441">
              <w:rPr>
                <w:rFonts w:ascii="Aptos" w:hAnsi="Aptos" w:cs="Calibri"/>
                <w:sz w:val="20"/>
                <w:szCs w:val="20"/>
              </w:rPr>
              <w:t>ILD 10 : Nombre d’établissements primaires et secondaires disposant de COGES fonctionnels</w:t>
            </w:r>
          </w:p>
        </w:tc>
        <w:tc>
          <w:tcPr>
            <w:tcW w:w="1440" w:type="dxa"/>
            <w:shd w:val="clear" w:color="auto" w:fill="FFFFFF"/>
            <w:vAlign w:val="center"/>
          </w:tcPr>
          <w:p w14:paraId="56E5DA6F"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5,55</w:t>
            </w:r>
          </w:p>
        </w:tc>
        <w:tc>
          <w:tcPr>
            <w:tcW w:w="1350" w:type="dxa"/>
            <w:shd w:val="clear" w:color="auto" w:fill="FFFFFF"/>
            <w:vAlign w:val="center"/>
          </w:tcPr>
          <w:p w14:paraId="4AF9B342" w14:textId="77777777" w:rsidR="00A2320D" w:rsidRPr="005C2441" w:rsidRDefault="00A2320D" w:rsidP="005C2441">
            <w:pPr>
              <w:spacing w:after="0" w:line="240" w:lineRule="auto"/>
              <w:ind w:right="299"/>
              <w:jc w:val="right"/>
              <w:rPr>
                <w:rFonts w:ascii="Aptos" w:eastAsia="Calibri" w:hAnsi="Aptos" w:cs="Calibri"/>
                <w:kern w:val="0"/>
                <w:sz w:val="20"/>
                <w:szCs w:val="20"/>
                <w14:ligatures w14:val="none"/>
              </w:rPr>
            </w:pPr>
            <w:r w:rsidRPr="005C2441">
              <w:rPr>
                <w:rFonts w:ascii="Aptos" w:hAnsi="Aptos" w:cs="Calibri"/>
                <w:sz w:val="20"/>
                <w:szCs w:val="20"/>
              </w:rPr>
              <w:t>0</w:t>
            </w:r>
          </w:p>
        </w:tc>
        <w:tc>
          <w:tcPr>
            <w:tcW w:w="1260" w:type="dxa"/>
            <w:shd w:val="clear" w:color="auto" w:fill="FFFFFF"/>
            <w:vAlign w:val="center"/>
          </w:tcPr>
          <w:p w14:paraId="685ECA22" w14:textId="77777777" w:rsidR="00A2320D" w:rsidRPr="005C2441" w:rsidRDefault="00A2320D" w:rsidP="005C2441">
            <w:pPr>
              <w:spacing w:after="0" w:line="240" w:lineRule="auto"/>
              <w:jc w:val="right"/>
              <w:rPr>
                <w:rFonts w:ascii="Aptos" w:eastAsia="Calibri" w:hAnsi="Aptos" w:cs="Calibri"/>
                <w:kern w:val="0"/>
                <w:sz w:val="20"/>
                <w:szCs w:val="20"/>
                <w14:ligatures w14:val="none"/>
              </w:rPr>
            </w:pPr>
            <w:r w:rsidRPr="005C2441">
              <w:rPr>
                <w:rFonts w:ascii="Aptos" w:hAnsi="Aptos" w:cs="Calibri"/>
                <w:sz w:val="20"/>
                <w:szCs w:val="20"/>
              </w:rPr>
              <w:t>5,55</w:t>
            </w:r>
          </w:p>
        </w:tc>
      </w:tr>
      <w:tr w:rsidR="00A2320D" w:rsidRPr="00D401FA" w14:paraId="4C545B9F" w14:textId="77777777" w:rsidTr="00462E36">
        <w:tc>
          <w:tcPr>
            <w:tcW w:w="6030" w:type="dxa"/>
            <w:gridSpan w:val="2"/>
          </w:tcPr>
          <w:p w14:paraId="4201C035" w14:textId="77777777" w:rsidR="00A2320D" w:rsidRPr="005C2441" w:rsidRDefault="00A2320D" w:rsidP="005C2441">
            <w:pPr>
              <w:spacing w:after="0" w:line="240" w:lineRule="auto"/>
              <w:jc w:val="both"/>
              <w:rPr>
                <w:rFonts w:ascii="Aptos" w:eastAsia="Calibri" w:hAnsi="Aptos" w:cs="Calibri"/>
                <w:b/>
                <w:bCs/>
                <w:kern w:val="0"/>
                <w:sz w:val="20"/>
                <w:szCs w:val="20"/>
                <w14:ligatures w14:val="none"/>
              </w:rPr>
            </w:pPr>
            <w:r w:rsidRPr="005C2441">
              <w:rPr>
                <w:rFonts w:ascii="Aptos" w:eastAsia="Calibri" w:hAnsi="Aptos" w:cs="Calibri"/>
                <w:b/>
                <w:bCs/>
                <w:kern w:val="0"/>
                <w:sz w:val="20"/>
                <w:szCs w:val="20"/>
                <w14:ligatures w14:val="none"/>
              </w:rPr>
              <w:t xml:space="preserve">Total </w:t>
            </w:r>
          </w:p>
        </w:tc>
        <w:tc>
          <w:tcPr>
            <w:tcW w:w="1440" w:type="dxa"/>
            <w:shd w:val="clear" w:color="auto" w:fill="FFFFFF"/>
            <w:vAlign w:val="center"/>
          </w:tcPr>
          <w:p w14:paraId="58379A14" w14:textId="77777777" w:rsidR="00A2320D" w:rsidRPr="005C2441" w:rsidRDefault="00A2320D" w:rsidP="005C2441">
            <w:pPr>
              <w:spacing w:after="0" w:line="240" w:lineRule="auto"/>
              <w:ind w:right="299"/>
              <w:jc w:val="right"/>
              <w:rPr>
                <w:rFonts w:ascii="Aptos" w:eastAsia="Calibri" w:hAnsi="Aptos" w:cs="Calibri"/>
                <w:b/>
                <w:bCs/>
                <w:kern w:val="0"/>
                <w:sz w:val="20"/>
                <w:szCs w:val="20"/>
                <w14:ligatures w14:val="none"/>
              </w:rPr>
            </w:pPr>
            <w:r w:rsidRPr="005C2441">
              <w:rPr>
                <w:rFonts w:ascii="Aptos" w:hAnsi="Aptos" w:cs="Calibri"/>
                <w:b/>
                <w:bCs/>
                <w:sz w:val="20"/>
                <w:szCs w:val="20"/>
              </w:rPr>
              <w:t>51,75</w:t>
            </w:r>
          </w:p>
        </w:tc>
        <w:tc>
          <w:tcPr>
            <w:tcW w:w="1350" w:type="dxa"/>
            <w:shd w:val="clear" w:color="auto" w:fill="FFFFFF"/>
            <w:vAlign w:val="center"/>
          </w:tcPr>
          <w:p w14:paraId="681ECF86" w14:textId="77777777" w:rsidR="00A2320D" w:rsidRPr="005C2441" w:rsidRDefault="00A2320D" w:rsidP="005C2441">
            <w:pPr>
              <w:spacing w:after="0" w:line="240" w:lineRule="auto"/>
              <w:ind w:right="299"/>
              <w:jc w:val="right"/>
              <w:rPr>
                <w:rFonts w:ascii="Aptos" w:eastAsia="Calibri" w:hAnsi="Aptos" w:cs="Calibri"/>
                <w:b/>
                <w:bCs/>
                <w:kern w:val="0"/>
                <w:sz w:val="20"/>
                <w:szCs w:val="20"/>
                <w14:ligatures w14:val="none"/>
              </w:rPr>
            </w:pPr>
            <w:r w:rsidRPr="005C2441">
              <w:rPr>
                <w:rFonts w:ascii="Aptos" w:hAnsi="Aptos" w:cs="Calibri"/>
                <w:b/>
                <w:bCs/>
                <w:sz w:val="20"/>
                <w:szCs w:val="20"/>
              </w:rPr>
              <w:t>35</w:t>
            </w:r>
          </w:p>
        </w:tc>
        <w:tc>
          <w:tcPr>
            <w:tcW w:w="1260" w:type="dxa"/>
            <w:shd w:val="clear" w:color="auto" w:fill="FFFFFF"/>
            <w:vAlign w:val="center"/>
          </w:tcPr>
          <w:p w14:paraId="010C34DB" w14:textId="77777777" w:rsidR="00A2320D" w:rsidRPr="005C2441" w:rsidRDefault="00A2320D" w:rsidP="005C2441">
            <w:pPr>
              <w:spacing w:after="0" w:line="240" w:lineRule="auto"/>
              <w:jc w:val="right"/>
              <w:rPr>
                <w:rFonts w:ascii="Aptos" w:eastAsia="Calibri" w:hAnsi="Aptos" w:cs="Calibri"/>
                <w:b/>
                <w:bCs/>
                <w:kern w:val="0"/>
                <w:sz w:val="20"/>
                <w:szCs w:val="20"/>
                <w14:ligatures w14:val="none"/>
              </w:rPr>
            </w:pPr>
            <w:r w:rsidRPr="005C2441">
              <w:rPr>
                <w:rFonts w:ascii="Aptos" w:hAnsi="Aptos" w:cs="Calibri"/>
                <w:b/>
                <w:bCs/>
                <w:sz w:val="20"/>
                <w:szCs w:val="20"/>
              </w:rPr>
              <w:t>16,75</w:t>
            </w:r>
          </w:p>
        </w:tc>
      </w:tr>
    </w:tbl>
    <w:p w14:paraId="6ADCCD6E" w14:textId="014AE0C1" w:rsidR="00DF30B4" w:rsidRPr="00D401FA" w:rsidRDefault="00DF30B4" w:rsidP="00EA7D5B">
      <w:pPr>
        <w:pStyle w:val="Heading2"/>
      </w:pPr>
      <w:bookmarkStart w:id="37" w:name="_Toc227686273"/>
      <w:bookmarkStart w:id="38" w:name="_Toc227686308"/>
      <w:bookmarkStart w:id="39" w:name="_Toc227686354"/>
      <w:r w:rsidRPr="00D401FA">
        <w:t>Rôle des partenaires</w:t>
      </w:r>
      <w:bookmarkEnd w:id="37"/>
      <w:bookmarkEnd w:id="38"/>
      <w:bookmarkEnd w:id="39"/>
    </w:p>
    <w:p w14:paraId="33C1DFE2" w14:textId="38ACBB1F" w:rsidR="00DF30B4" w:rsidRPr="00D401FA" w:rsidRDefault="00DF30B4" w:rsidP="00216CAF">
      <w:pPr>
        <w:autoSpaceDE w:val="0"/>
        <w:autoSpaceDN w:val="0"/>
        <w:adjustRightInd w:val="0"/>
        <w:spacing w:line="240" w:lineRule="auto"/>
        <w:jc w:val="both"/>
        <w:rPr>
          <w:rFonts w:ascii="Aptos" w:hAnsi="Aptos" w:cs="Calibri"/>
        </w:rPr>
      </w:pPr>
      <w:r w:rsidRPr="00D401FA">
        <w:rPr>
          <w:rFonts w:ascii="Aptos" w:hAnsi="Aptos" w:cs="Calibri"/>
        </w:rPr>
        <w:t xml:space="preserve">Le Groupe local des partenaires de l’éducation (GLE) rassemble les partenaires au développement, la société civile et les ministères sectoriels en charge de l’éducation dans le cadre de réunions régulières destinées à favoriser le dialogue politique sur les enjeux du secteur éducatif, y compris le financement. La Banque mondiale participe activement à cette plateforme, qui renforce la coordination des partenaires du secteur et joue un rôle essentiel dans la mise en place de synergies à travers des rôles complémentaires (voir tableau 5). Les efforts conjoints en matière de renforcement des capacités et de prise de décision fondée sur les données assurent une approche holistique, positionnant le Programme IQRAA comme facilitateur du dialogue politique de haut niveau, notamment en matière de financement et de réformes clés du secteur éducatif. Le Programme appuie également les communautés locales à travers les COGES, tandis que les partenaires au développement apportent un appui complémentaire au Ministère, contribuant à l’amélioration de la qualité de l’enseignement et des apprentissages. </w:t>
      </w:r>
    </w:p>
    <w:p w14:paraId="2FB6C2BC" w14:textId="638ADF7E" w:rsidR="00DF30B4" w:rsidRPr="00EA7D5B" w:rsidRDefault="00DF30B4" w:rsidP="00216CAF">
      <w:pPr>
        <w:autoSpaceDE w:val="0"/>
        <w:autoSpaceDN w:val="0"/>
        <w:adjustRightInd w:val="0"/>
        <w:spacing w:line="240" w:lineRule="auto"/>
        <w:jc w:val="both"/>
        <w:rPr>
          <w:rFonts w:ascii="Aptos" w:hAnsi="Aptos" w:cs="Calibri"/>
        </w:rPr>
      </w:pPr>
      <w:r w:rsidRPr="00D401FA">
        <w:rPr>
          <w:rFonts w:ascii="Aptos" w:hAnsi="Aptos" w:cs="Calibri"/>
        </w:rPr>
        <w:t xml:space="preserve">Le Programme est pleinement en cohérence avec le Pacte de partenariat pour l’éducation en Mauritanie, promu par le GPE et adopté par le Gouvernement et les partenaires du secteur. Ce pacte définit trois piliers prioritaires : (i) l’amélioration des qualifications des enseignants ; (ii) le renforcement des compétences des enseignants pour des apprentissages de qualité ; et (iii) la transformation des conditions et des environnements d’enseignement et d’apprentissage. En mettant l’accent sur la qualité de l’éducation, l’élargissement de l’accès et le renforcement de la gouvernance du secteur, l’opération </w:t>
      </w:r>
      <w:r w:rsidRPr="00EA7D5B">
        <w:rPr>
          <w:rFonts w:ascii="Aptos" w:hAnsi="Aptos" w:cs="Calibri"/>
        </w:rPr>
        <w:t>IQRAA</w:t>
      </w:r>
      <w:r w:rsidRPr="00D401FA">
        <w:rPr>
          <w:rFonts w:ascii="Aptos" w:hAnsi="Aptos" w:cs="Calibri"/>
        </w:rPr>
        <w:t xml:space="preserve"> s’inscrit pleinement </w:t>
      </w:r>
      <w:r w:rsidR="008305F9">
        <w:rPr>
          <w:rFonts w:ascii="Aptos" w:hAnsi="Aptos" w:cs="Calibri"/>
        </w:rPr>
        <w:t>dans le Pacte</w:t>
      </w:r>
      <w:r w:rsidRPr="00D401FA">
        <w:rPr>
          <w:rFonts w:ascii="Aptos" w:hAnsi="Aptos" w:cs="Calibri"/>
        </w:rPr>
        <w:t xml:space="preserve">, qui permet de rassembler les partenaires concernés, d’éclairer les politiques et programmes nationaux et de renforcer la coordination des interventions sur le terrain. Le GPE cofinancera le Programme proposé à travers </w:t>
      </w:r>
      <w:r w:rsidRPr="00EA7D5B">
        <w:rPr>
          <w:rFonts w:ascii="Aptos" w:hAnsi="Aptos" w:cs="Calibri"/>
        </w:rPr>
        <w:t xml:space="preserve">un financement pour la transformation du système (STG) et des fonds multiplicateurs. Dans ce cadre, le HCR joue un rôle clé de coordination et d’appui technique au Gouvernement, notamment pour la protection des réfugiés et la facilitation de </w:t>
      </w:r>
      <w:r w:rsidR="008305F9">
        <w:rPr>
          <w:rFonts w:ascii="Aptos" w:hAnsi="Aptos" w:cs="Calibri"/>
        </w:rPr>
        <w:t xml:space="preserve">la transition des élèves vers </w:t>
      </w:r>
      <w:r w:rsidRPr="00EA7D5B">
        <w:rPr>
          <w:rFonts w:ascii="Aptos" w:hAnsi="Aptos" w:cs="Calibri"/>
        </w:rPr>
        <w:t>le système éducatif national. Les interventions des partenaires dans les zones d’accueil de réfugiés s’orientent de plus en plus vers l’appui à cette transition, notamment en s’attaquant aux défis relatifs à l’harmonisation des programmes, à la langue d’enseignement et à la disponibilité des données, conformément à la feuille de route nationale.</w:t>
      </w:r>
    </w:p>
    <w:p w14:paraId="3EB41532" w14:textId="77777777" w:rsidR="008305F9" w:rsidRDefault="008305F9">
      <w:pPr>
        <w:rPr>
          <w:rFonts w:ascii="Aptos" w:hAnsi="Aptos" w:cs="Calibri"/>
          <w:b/>
          <w:bCs/>
        </w:rPr>
      </w:pPr>
      <w:r>
        <w:rPr>
          <w:rFonts w:ascii="Aptos" w:hAnsi="Aptos" w:cs="Calibri"/>
          <w:b/>
          <w:bCs/>
        </w:rPr>
        <w:br w:type="page"/>
      </w:r>
    </w:p>
    <w:p w14:paraId="115973C7" w14:textId="61ACD6AA" w:rsidR="00DF30B4" w:rsidRDefault="00EA7D5B" w:rsidP="00216CAF">
      <w:pPr>
        <w:autoSpaceDE w:val="0"/>
        <w:autoSpaceDN w:val="0"/>
        <w:adjustRightInd w:val="0"/>
        <w:spacing w:line="240" w:lineRule="auto"/>
        <w:jc w:val="both"/>
        <w:rPr>
          <w:rFonts w:ascii="Aptos" w:hAnsi="Aptos" w:cs="Calibri"/>
          <w:b/>
          <w:bCs/>
        </w:rPr>
      </w:pPr>
      <w:r w:rsidRPr="00EA7D5B">
        <w:rPr>
          <w:rFonts w:ascii="Aptos" w:hAnsi="Aptos" w:cs="Calibri"/>
          <w:b/>
          <w:bCs/>
        </w:rPr>
        <w:lastRenderedPageBreak/>
        <w:t xml:space="preserve">Tableau 5 : Interventions des partenaires au développement </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7280"/>
      </w:tblGrid>
      <w:tr w:rsidR="00B8553C" w:rsidRPr="00343C60" w14:paraId="08380FDB" w14:textId="77777777" w:rsidTr="007D42AE">
        <w:trPr>
          <w:jc w:val="center"/>
        </w:trPr>
        <w:tc>
          <w:tcPr>
            <w:tcW w:w="3785" w:type="dxa"/>
            <w:vAlign w:val="center"/>
          </w:tcPr>
          <w:p w14:paraId="5D0E794A" w14:textId="77777777" w:rsidR="00B8553C" w:rsidRPr="00B8553C" w:rsidRDefault="00B8553C" w:rsidP="00B8553C">
            <w:pPr>
              <w:spacing w:after="0" w:line="240" w:lineRule="auto"/>
              <w:rPr>
                <w:rFonts w:ascii="Aptos" w:eastAsia="SimSun" w:hAnsi="Aptos" w:cs="Calibri"/>
                <w:b/>
                <w:sz w:val="20"/>
                <w:szCs w:val="20"/>
              </w:rPr>
            </w:pPr>
            <w:bookmarkStart w:id="40" w:name="_Hlk199071543"/>
            <w:r w:rsidRPr="00B8553C">
              <w:rPr>
                <w:rFonts w:ascii="Aptos" w:eastAsia="SimSun" w:hAnsi="Aptos"/>
                <w:b/>
                <w:bCs/>
                <w:sz w:val="20"/>
                <w:szCs w:val="20"/>
              </w:rPr>
              <w:t>Nom du partenaire</w:t>
            </w:r>
          </w:p>
        </w:tc>
        <w:tc>
          <w:tcPr>
            <w:tcW w:w="7280" w:type="dxa"/>
            <w:vAlign w:val="center"/>
          </w:tcPr>
          <w:p w14:paraId="0F4FECB2" w14:textId="77777777" w:rsidR="00B8553C" w:rsidRPr="00B8553C" w:rsidRDefault="00B8553C" w:rsidP="00B8553C">
            <w:pPr>
              <w:spacing w:after="0" w:line="240" w:lineRule="auto"/>
              <w:rPr>
                <w:rFonts w:ascii="Aptos" w:eastAsia="SimSun" w:hAnsi="Aptos" w:cs="Calibri"/>
                <w:b/>
                <w:sz w:val="20"/>
                <w:szCs w:val="20"/>
              </w:rPr>
            </w:pPr>
            <w:r w:rsidRPr="00B8553C">
              <w:rPr>
                <w:rFonts w:ascii="Aptos" w:eastAsia="SimSun" w:hAnsi="Aptos"/>
                <w:b/>
                <w:bCs/>
                <w:sz w:val="20"/>
                <w:szCs w:val="20"/>
              </w:rPr>
              <w:t>Nature de l’intervention / Description</w:t>
            </w:r>
          </w:p>
        </w:tc>
      </w:tr>
      <w:tr w:rsidR="00B8553C" w:rsidRPr="00343C60" w14:paraId="1A0A870D" w14:textId="77777777" w:rsidTr="007D42AE">
        <w:trPr>
          <w:jc w:val="center"/>
        </w:trPr>
        <w:tc>
          <w:tcPr>
            <w:tcW w:w="3785" w:type="dxa"/>
            <w:vAlign w:val="center"/>
          </w:tcPr>
          <w:p w14:paraId="69C4F7F5"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Agence française de développement (AFD) – 6 millions EUR</w:t>
            </w:r>
          </w:p>
        </w:tc>
        <w:tc>
          <w:tcPr>
            <w:tcW w:w="7280" w:type="dxa"/>
            <w:vAlign w:val="center"/>
          </w:tcPr>
          <w:p w14:paraId="44696312"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Appui à l’enseignement bilingue pour les enseignants (français-arabe), à l’enseignement des STIM (laboratoires mobiles) et à la construction de 10 nouveaux collèges.</w:t>
            </w:r>
          </w:p>
        </w:tc>
      </w:tr>
      <w:tr w:rsidR="00B8553C" w:rsidRPr="00343C60" w14:paraId="0593EE6F" w14:textId="77777777" w:rsidTr="007D42AE">
        <w:trPr>
          <w:jc w:val="center"/>
        </w:trPr>
        <w:tc>
          <w:tcPr>
            <w:tcW w:w="3785" w:type="dxa"/>
            <w:vAlign w:val="center"/>
          </w:tcPr>
          <w:p w14:paraId="20EBCB93"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Union européenne / Expertise France – 6 millions EUR</w:t>
            </w:r>
          </w:p>
        </w:tc>
        <w:tc>
          <w:tcPr>
            <w:tcW w:w="7280" w:type="dxa"/>
            <w:vAlign w:val="center"/>
          </w:tcPr>
          <w:p w14:paraId="10ED95AE"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Appui à la réforme des manuels scolaires, assistance technique pour la réforme du budget-programme pluriannuel et renforcement des capacités sectorielles.</w:t>
            </w:r>
          </w:p>
        </w:tc>
      </w:tr>
      <w:tr w:rsidR="00B8553C" w:rsidRPr="00343C60" w14:paraId="5DF67449" w14:textId="77777777" w:rsidTr="007D42AE">
        <w:trPr>
          <w:jc w:val="center"/>
        </w:trPr>
        <w:tc>
          <w:tcPr>
            <w:tcW w:w="3785" w:type="dxa"/>
            <w:vAlign w:val="center"/>
          </w:tcPr>
          <w:p w14:paraId="172ED0F9"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Union européenne / UNESCO – 2,5 millions USD</w:t>
            </w:r>
          </w:p>
        </w:tc>
        <w:tc>
          <w:tcPr>
            <w:tcW w:w="7280" w:type="dxa"/>
            <w:vAlign w:val="center"/>
          </w:tcPr>
          <w:p w14:paraId="7A13A038"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Appui au dialogue politique régional au Sahel sur le corps enseignant et le développement professionnel des enseignants.</w:t>
            </w:r>
          </w:p>
        </w:tc>
      </w:tr>
      <w:tr w:rsidR="00B8553C" w:rsidRPr="00343C60" w14:paraId="23CC0A1E" w14:textId="77777777" w:rsidTr="007D42AE">
        <w:trPr>
          <w:jc w:val="center"/>
        </w:trPr>
        <w:tc>
          <w:tcPr>
            <w:tcW w:w="3785" w:type="dxa"/>
            <w:vAlign w:val="center"/>
          </w:tcPr>
          <w:p w14:paraId="52D7FCBE"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 xml:space="preserve">USDA / </w:t>
            </w:r>
            <w:proofErr w:type="spellStart"/>
            <w:r w:rsidRPr="00B8553C">
              <w:rPr>
                <w:rFonts w:ascii="Aptos" w:eastAsia="SimSun" w:hAnsi="Aptos"/>
                <w:sz w:val="20"/>
                <w:szCs w:val="20"/>
              </w:rPr>
              <w:t>Counterpart</w:t>
            </w:r>
            <w:proofErr w:type="spellEnd"/>
            <w:r w:rsidRPr="00B8553C">
              <w:rPr>
                <w:rFonts w:ascii="Aptos" w:eastAsia="SimSun" w:hAnsi="Aptos"/>
                <w:sz w:val="20"/>
                <w:szCs w:val="20"/>
              </w:rPr>
              <w:t xml:space="preserve"> International – 28,5 millions USD</w:t>
            </w:r>
          </w:p>
        </w:tc>
        <w:tc>
          <w:tcPr>
            <w:tcW w:w="7280" w:type="dxa"/>
            <w:vAlign w:val="center"/>
          </w:tcPr>
          <w:p w14:paraId="4307F843"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Appui à un programme de cantine scolaire au niveau primaire.</w:t>
            </w:r>
          </w:p>
        </w:tc>
      </w:tr>
      <w:tr w:rsidR="00B8553C" w:rsidRPr="00343C60" w14:paraId="4D895E36" w14:textId="77777777" w:rsidTr="007D42AE">
        <w:trPr>
          <w:jc w:val="center"/>
        </w:trPr>
        <w:tc>
          <w:tcPr>
            <w:tcW w:w="3785" w:type="dxa"/>
            <w:vAlign w:val="center"/>
          </w:tcPr>
          <w:p w14:paraId="65ACEA54"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Agence française de développement (AFD) – 4 millions EUR</w:t>
            </w:r>
          </w:p>
        </w:tc>
        <w:tc>
          <w:tcPr>
            <w:tcW w:w="7280" w:type="dxa"/>
            <w:vAlign w:val="center"/>
          </w:tcPr>
          <w:p w14:paraId="35A672A8"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Appui à l’enseignement et à la formation techniques et professionnels.</w:t>
            </w:r>
          </w:p>
        </w:tc>
      </w:tr>
      <w:tr w:rsidR="00B8553C" w:rsidRPr="00343C60" w14:paraId="009DA579" w14:textId="77777777" w:rsidTr="007D42AE">
        <w:trPr>
          <w:jc w:val="center"/>
        </w:trPr>
        <w:tc>
          <w:tcPr>
            <w:tcW w:w="3785" w:type="dxa"/>
            <w:vAlign w:val="center"/>
          </w:tcPr>
          <w:p w14:paraId="29F02CE3"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Allemagne / KfW</w:t>
            </w:r>
          </w:p>
        </w:tc>
        <w:tc>
          <w:tcPr>
            <w:tcW w:w="7280" w:type="dxa"/>
            <w:vAlign w:val="center"/>
          </w:tcPr>
          <w:p w14:paraId="7DF6D02F"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Appui à l’enseignement et à la formation techniques et professionnels.</w:t>
            </w:r>
          </w:p>
        </w:tc>
      </w:tr>
      <w:tr w:rsidR="00B8553C" w:rsidRPr="00343C60" w14:paraId="49502B69" w14:textId="77777777" w:rsidTr="007D42AE">
        <w:trPr>
          <w:jc w:val="center"/>
        </w:trPr>
        <w:tc>
          <w:tcPr>
            <w:tcW w:w="3785" w:type="dxa"/>
            <w:vAlign w:val="center"/>
          </w:tcPr>
          <w:p w14:paraId="3AE1B2F4"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Banque islamique de développement (</w:t>
            </w:r>
            <w:proofErr w:type="spellStart"/>
            <w:r w:rsidRPr="00B8553C">
              <w:rPr>
                <w:rFonts w:ascii="Aptos" w:eastAsia="SimSun" w:hAnsi="Aptos"/>
                <w:sz w:val="20"/>
                <w:szCs w:val="20"/>
              </w:rPr>
              <w:t>IsDB</w:t>
            </w:r>
            <w:proofErr w:type="spellEnd"/>
            <w:r w:rsidRPr="00B8553C">
              <w:rPr>
                <w:rFonts w:ascii="Aptos" w:eastAsia="SimSun" w:hAnsi="Aptos"/>
                <w:sz w:val="20"/>
                <w:szCs w:val="20"/>
              </w:rPr>
              <w:t>) – 12 millions USD (secondaire) + 50 millions USD (supérieur)</w:t>
            </w:r>
          </w:p>
        </w:tc>
        <w:tc>
          <w:tcPr>
            <w:tcW w:w="7280" w:type="dxa"/>
            <w:vAlign w:val="center"/>
          </w:tcPr>
          <w:p w14:paraId="7F9B039E" w14:textId="77777777" w:rsidR="00B8553C" w:rsidRPr="00B8553C" w:rsidRDefault="00B8553C" w:rsidP="00B8553C">
            <w:pPr>
              <w:spacing w:after="0"/>
              <w:rPr>
                <w:rFonts w:ascii="Aptos" w:eastAsia="SimSun" w:hAnsi="Aptos"/>
                <w:sz w:val="20"/>
                <w:szCs w:val="20"/>
              </w:rPr>
            </w:pPr>
            <w:r w:rsidRPr="00B8553C">
              <w:rPr>
                <w:rFonts w:ascii="Aptos" w:eastAsia="SimSun" w:hAnsi="Aptos"/>
                <w:sz w:val="20"/>
                <w:szCs w:val="20"/>
              </w:rPr>
              <w:t xml:space="preserve">Appui à l’enseignement des STIM au niveau secondaire (élaboration des programmes d’enseignement, outils pédagogiques et développement professionnel des enseignants). </w:t>
            </w:r>
          </w:p>
          <w:p w14:paraId="78E6CCEA"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Appui à la construction et à la mise en place de deux établissements d’enseignement supérieur.</w:t>
            </w:r>
          </w:p>
        </w:tc>
      </w:tr>
      <w:tr w:rsidR="00B8553C" w:rsidRPr="00343C60" w14:paraId="52B132AE" w14:textId="77777777" w:rsidTr="007D42AE">
        <w:trPr>
          <w:jc w:val="center"/>
        </w:trPr>
        <w:tc>
          <w:tcPr>
            <w:tcW w:w="3785" w:type="dxa"/>
            <w:vAlign w:val="center"/>
          </w:tcPr>
          <w:p w14:paraId="239E4578"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Fonds saoudien de développement – 50 millions USD</w:t>
            </w:r>
          </w:p>
        </w:tc>
        <w:tc>
          <w:tcPr>
            <w:tcW w:w="7280" w:type="dxa"/>
            <w:vAlign w:val="center"/>
          </w:tcPr>
          <w:p w14:paraId="09DBDCC5" w14:textId="77777777" w:rsidR="00B8553C" w:rsidRPr="00B8553C" w:rsidRDefault="00B8553C" w:rsidP="00B8553C">
            <w:pPr>
              <w:spacing w:after="0" w:line="240" w:lineRule="auto"/>
              <w:rPr>
                <w:rFonts w:ascii="Aptos" w:eastAsia="SimSun" w:hAnsi="Aptos" w:cs="Calibri"/>
                <w:bCs/>
                <w:sz w:val="20"/>
                <w:szCs w:val="20"/>
              </w:rPr>
            </w:pPr>
            <w:r w:rsidRPr="00B8553C">
              <w:rPr>
                <w:rFonts w:ascii="Aptos" w:eastAsia="SimSun" w:hAnsi="Aptos"/>
                <w:sz w:val="20"/>
                <w:szCs w:val="20"/>
              </w:rPr>
              <w:t>Appui à la construction et à la mise en place de deux établissements d’enseignement supérieur.</w:t>
            </w:r>
          </w:p>
        </w:tc>
      </w:tr>
    </w:tbl>
    <w:p w14:paraId="48A95C0D" w14:textId="2C58CC7B" w:rsidR="00236F34" w:rsidRPr="00D401FA" w:rsidRDefault="00236F34" w:rsidP="00EA7D5B">
      <w:pPr>
        <w:pStyle w:val="Heading2"/>
      </w:pPr>
      <w:bookmarkStart w:id="41" w:name="_Toc227686274"/>
      <w:bookmarkStart w:id="42" w:name="_Toc227686309"/>
      <w:bookmarkStart w:id="43" w:name="_Toc227686355"/>
      <w:bookmarkEnd w:id="40"/>
      <w:r w:rsidRPr="00D401FA">
        <w:t>Effets environnementaux du Programme</w:t>
      </w:r>
      <w:bookmarkEnd w:id="41"/>
      <w:bookmarkEnd w:id="42"/>
      <w:bookmarkEnd w:id="43"/>
    </w:p>
    <w:p w14:paraId="243D3DF5" w14:textId="77777777" w:rsidR="00236F34" w:rsidRPr="00D401FA" w:rsidRDefault="00236F34" w:rsidP="00216CAF">
      <w:pPr>
        <w:autoSpaceDE w:val="0"/>
        <w:autoSpaceDN w:val="0"/>
        <w:adjustRightInd w:val="0"/>
        <w:spacing w:line="240" w:lineRule="auto"/>
        <w:jc w:val="both"/>
        <w:rPr>
          <w:rFonts w:ascii="Aptos" w:hAnsi="Aptos" w:cs="Calibri"/>
          <w:b/>
          <w:bCs/>
        </w:rPr>
      </w:pPr>
      <w:r w:rsidRPr="00D401FA">
        <w:rPr>
          <w:rFonts w:ascii="Aptos" w:hAnsi="Aptos" w:cs="Calibri"/>
          <w:b/>
          <w:bCs/>
        </w:rPr>
        <w:t>Impacts environnementaux et sociaux négatifs limités</w:t>
      </w:r>
    </w:p>
    <w:p w14:paraId="1EA5E760" w14:textId="77777777" w:rsidR="00E869FC" w:rsidRPr="006F7CDA" w:rsidRDefault="00236F34" w:rsidP="006F7CDA">
      <w:pPr>
        <w:autoSpaceDE w:val="0"/>
        <w:autoSpaceDN w:val="0"/>
        <w:adjustRightInd w:val="0"/>
        <w:spacing w:line="240" w:lineRule="auto"/>
        <w:jc w:val="both"/>
        <w:rPr>
          <w:rFonts w:ascii="Aptos" w:hAnsi="Aptos" w:cs="Calibri"/>
        </w:rPr>
      </w:pPr>
      <w:r w:rsidRPr="006F7CDA">
        <w:rPr>
          <w:rFonts w:ascii="Aptos" w:hAnsi="Aptos" w:cs="Calibri"/>
        </w:rPr>
        <w:t>L’absence d’impacts environnementaux négatifs majeurs du Programme IQRAA s’explique par :</w:t>
      </w:r>
    </w:p>
    <w:p w14:paraId="20925419" w14:textId="77777777" w:rsidR="00E869FC" w:rsidRDefault="00236F34" w:rsidP="008B048C">
      <w:pPr>
        <w:pStyle w:val="ListParagraph"/>
        <w:numPr>
          <w:ilvl w:val="0"/>
          <w:numId w:val="30"/>
        </w:numPr>
        <w:autoSpaceDE w:val="0"/>
        <w:autoSpaceDN w:val="0"/>
        <w:adjustRightInd w:val="0"/>
        <w:spacing w:line="240" w:lineRule="auto"/>
        <w:jc w:val="both"/>
        <w:rPr>
          <w:rFonts w:ascii="Aptos" w:hAnsi="Aptos" w:cs="Calibri"/>
        </w:rPr>
      </w:pPr>
      <w:r w:rsidRPr="00E869FC">
        <w:rPr>
          <w:rFonts w:ascii="Aptos" w:hAnsi="Aptos" w:cs="Calibri"/>
        </w:rPr>
        <w:t xml:space="preserve">L’exclusion, du fait même de la nature du </w:t>
      </w:r>
      <w:proofErr w:type="spellStart"/>
      <w:r w:rsidRPr="00E869FC">
        <w:rPr>
          <w:rFonts w:ascii="Aptos" w:hAnsi="Aptos" w:cs="Calibri"/>
        </w:rPr>
        <w:t>PforR</w:t>
      </w:r>
      <w:proofErr w:type="spellEnd"/>
      <w:r w:rsidRPr="00E869FC">
        <w:rPr>
          <w:rFonts w:ascii="Aptos" w:hAnsi="Aptos" w:cs="Calibri"/>
        </w:rPr>
        <w:t>, de tout investissement comportant des risques environnementaux majeurs ;</w:t>
      </w:r>
    </w:p>
    <w:p w14:paraId="2BFDD164" w14:textId="41FBFC78" w:rsidR="00E869FC" w:rsidRDefault="00236F34" w:rsidP="008B048C">
      <w:pPr>
        <w:pStyle w:val="ListParagraph"/>
        <w:numPr>
          <w:ilvl w:val="0"/>
          <w:numId w:val="30"/>
        </w:numPr>
        <w:autoSpaceDE w:val="0"/>
        <w:autoSpaceDN w:val="0"/>
        <w:adjustRightInd w:val="0"/>
        <w:spacing w:line="240" w:lineRule="auto"/>
        <w:jc w:val="both"/>
        <w:rPr>
          <w:rFonts w:ascii="Aptos" w:hAnsi="Aptos" w:cs="Calibri"/>
        </w:rPr>
      </w:pPr>
      <w:r w:rsidRPr="00E869FC">
        <w:rPr>
          <w:rFonts w:ascii="Aptos" w:hAnsi="Aptos" w:cs="Calibri"/>
        </w:rPr>
        <w:t>La nature et le type d’aménagements et d’infrastructures, qui sont limités et de petite envergure, généralement bien localisés et spatialement circonscrits, et qui impliquent uniquement des travaux d’excavation de faible profondeur et d</w:t>
      </w:r>
      <w:r w:rsidR="006F7CDA">
        <w:rPr>
          <w:rFonts w:ascii="Aptos" w:hAnsi="Aptos" w:cs="Calibri"/>
        </w:rPr>
        <w:t xml:space="preserve">e surface </w:t>
      </w:r>
      <w:r w:rsidRPr="00E869FC">
        <w:rPr>
          <w:rFonts w:ascii="Aptos" w:hAnsi="Aptos" w:cs="Calibri"/>
        </w:rPr>
        <w:t>limitée ;</w:t>
      </w:r>
    </w:p>
    <w:p w14:paraId="697DD2DF" w14:textId="77777777" w:rsidR="00E869FC" w:rsidRDefault="00236F34" w:rsidP="008B048C">
      <w:pPr>
        <w:pStyle w:val="ListParagraph"/>
        <w:numPr>
          <w:ilvl w:val="0"/>
          <w:numId w:val="30"/>
        </w:numPr>
        <w:autoSpaceDE w:val="0"/>
        <w:autoSpaceDN w:val="0"/>
        <w:adjustRightInd w:val="0"/>
        <w:spacing w:line="240" w:lineRule="auto"/>
        <w:jc w:val="both"/>
        <w:rPr>
          <w:rFonts w:ascii="Aptos" w:hAnsi="Aptos" w:cs="Calibri"/>
        </w:rPr>
      </w:pPr>
      <w:r w:rsidRPr="00E869FC">
        <w:rPr>
          <w:rFonts w:ascii="Aptos" w:hAnsi="Aptos" w:cs="Calibri"/>
        </w:rPr>
        <w:t>Des travaux et opérations d’aménagement qui n’entraînent pas d’incidences majeures en matière de pollution de l’air ou de nuisances sonores, ni de dégradation significative de l’environnement urbain ;</w:t>
      </w:r>
    </w:p>
    <w:p w14:paraId="11508074" w14:textId="77777777" w:rsidR="00E869FC" w:rsidRDefault="00236F34" w:rsidP="008B048C">
      <w:pPr>
        <w:pStyle w:val="ListParagraph"/>
        <w:numPr>
          <w:ilvl w:val="0"/>
          <w:numId w:val="30"/>
        </w:numPr>
        <w:autoSpaceDE w:val="0"/>
        <w:autoSpaceDN w:val="0"/>
        <w:adjustRightInd w:val="0"/>
        <w:spacing w:line="240" w:lineRule="auto"/>
        <w:jc w:val="both"/>
        <w:rPr>
          <w:rFonts w:ascii="Aptos" w:hAnsi="Aptos" w:cs="Calibri"/>
        </w:rPr>
      </w:pPr>
      <w:r w:rsidRPr="00E869FC">
        <w:rPr>
          <w:rFonts w:ascii="Aptos" w:hAnsi="Aptos" w:cs="Calibri"/>
        </w:rPr>
        <w:t>La faisabilité, l’efficacité et le caractère pratique des activités prévues, fondés sur les résultats d’études diagnostiques réalisées en amont et prenant en compte les facteurs sociaux, économiques et environnementaux spécifiques ;</w:t>
      </w:r>
    </w:p>
    <w:p w14:paraId="4AC9C523" w14:textId="51D3A694" w:rsidR="00E869FC" w:rsidRDefault="00236F34" w:rsidP="008B048C">
      <w:pPr>
        <w:pStyle w:val="ListParagraph"/>
        <w:numPr>
          <w:ilvl w:val="0"/>
          <w:numId w:val="30"/>
        </w:numPr>
        <w:autoSpaceDE w:val="0"/>
        <w:autoSpaceDN w:val="0"/>
        <w:adjustRightInd w:val="0"/>
        <w:spacing w:line="240" w:lineRule="auto"/>
        <w:jc w:val="both"/>
        <w:rPr>
          <w:rFonts w:ascii="Aptos" w:hAnsi="Aptos" w:cs="Calibri"/>
        </w:rPr>
      </w:pPr>
      <w:r w:rsidRPr="00E869FC">
        <w:rPr>
          <w:rFonts w:ascii="Aptos" w:hAnsi="Aptos" w:cs="Calibri"/>
        </w:rPr>
        <w:t xml:space="preserve">L’existence de diverses mesures efficaces et </w:t>
      </w:r>
      <w:r w:rsidR="006F7CDA">
        <w:rPr>
          <w:rFonts w:ascii="Aptos" w:hAnsi="Aptos" w:cs="Calibri"/>
        </w:rPr>
        <w:t>contrôlables</w:t>
      </w:r>
      <w:r w:rsidRPr="00E869FC">
        <w:rPr>
          <w:rFonts w:ascii="Aptos" w:hAnsi="Aptos" w:cs="Calibri"/>
        </w:rPr>
        <w:t xml:space="preserve"> permettant d’atténuer les risques potentiels et d’assurer le suivi des impacts, tant pendant la phase de travaux que durant la mise en œuvre du Programme ;</w:t>
      </w:r>
    </w:p>
    <w:p w14:paraId="23E688B9" w14:textId="77777777" w:rsidR="00E869FC" w:rsidRDefault="00236F34" w:rsidP="008B048C">
      <w:pPr>
        <w:pStyle w:val="ListParagraph"/>
        <w:numPr>
          <w:ilvl w:val="0"/>
          <w:numId w:val="30"/>
        </w:numPr>
        <w:autoSpaceDE w:val="0"/>
        <w:autoSpaceDN w:val="0"/>
        <w:adjustRightInd w:val="0"/>
        <w:spacing w:line="240" w:lineRule="auto"/>
        <w:jc w:val="both"/>
        <w:rPr>
          <w:rFonts w:ascii="Aptos" w:hAnsi="Aptos" w:cs="Calibri"/>
        </w:rPr>
      </w:pPr>
      <w:r w:rsidRPr="00E869FC">
        <w:rPr>
          <w:rFonts w:ascii="Aptos" w:hAnsi="Aptos" w:cs="Calibri"/>
        </w:rPr>
        <w:t>La présence d’institutions spécialisées, disposant de compétences dans la gestion de la plupart des aspects environnementaux et sociaux du Programme ;</w:t>
      </w:r>
    </w:p>
    <w:p w14:paraId="5C7EB4AC" w14:textId="49F700CD" w:rsidR="00236F34" w:rsidRPr="00E869FC" w:rsidRDefault="00236F34" w:rsidP="008B048C">
      <w:pPr>
        <w:pStyle w:val="ListParagraph"/>
        <w:numPr>
          <w:ilvl w:val="0"/>
          <w:numId w:val="30"/>
        </w:numPr>
        <w:autoSpaceDE w:val="0"/>
        <w:autoSpaceDN w:val="0"/>
        <w:adjustRightInd w:val="0"/>
        <w:spacing w:line="240" w:lineRule="auto"/>
        <w:jc w:val="both"/>
        <w:rPr>
          <w:rFonts w:ascii="Aptos" w:hAnsi="Aptos" w:cs="Calibri"/>
        </w:rPr>
      </w:pPr>
      <w:r w:rsidRPr="00E869FC">
        <w:rPr>
          <w:rFonts w:ascii="Aptos" w:hAnsi="Aptos" w:cs="Calibri"/>
        </w:rPr>
        <w:t>L’existence d’un cadre juridique adéquat permettant une gestion efficace de l’ensemble des aspects environnementaux et sociaux du Programme.</w:t>
      </w:r>
    </w:p>
    <w:p w14:paraId="03E60E11" w14:textId="565D8BAE" w:rsidR="00236F34" w:rsidRPr="00D401FA" w:rsidRDefault="00236F34" w:rsidP="00E869FC">
      <w:pPr>
        <w:autoSpaceDE w:val="0"/>
        <w:autoSpaceDN w:val="0"/>
        <w:adjustRightInd w:val="0"/>
        <w:spacing w:line="240" w:lineRule="auto"/>
        <w:ind w:firstLine="360"/>
        <w:jc w:val="both"/>
        <w:rPr>
          <w:rFonts w:ascii="Aptos" w:hAnsi="Aptos" w:cs="Calibri"/>
          <w:b/>
          <w:bCs/>
        </w:rPr>
      </w:pPr>
      <w:r w:rsidRPr="00D401FA">
        <w:rPr>
          <w:rFonts w:ascii="Aptos" w:hAnsi="Aptos" w:cs="Calibri"/>
          <w:b/>
          <w:bCs/>
        </w:rPr>
        <w:t xml:space="preserve">Risques et impacts </w:t>
      </w:r>
      <w:r w:rsidR="00E869FC">
        <w:rPr>
          <w:rFonts w:ascii="Aptos" w:hAnsi="Aptos" w:cs="Calibri"/>
          <w:b/>
          <w:bCs/>
        </w:rPr>
        <w:t>s</w:t>
      </w:r>
      <w:r w:rsidRPr="00D401FA">
        <w:rPr>
          <w:rFonts w:ascii="Aptos" w:hAnsi="Aptos" w:cs="Calibri"/>
          <w:b/>
          <w:bCs/>
        </w:rPr>
        <w:t>ubstantiels du Programme</w:t>
      </w:r>
    </w:p>
    <w:p w14:paraId="2BB66503" w14:textId="0DCFC063" w:rsidR="00236F34" w:rsidRPr="00D401FA" w:rsidRDefault="00236F34" w:rsidP="00216CAF">
      <w:pPr>
        <w:autoSpaceDE w:val="0"/>
        <w:autoSpaceDN w:val="0"/>
        <w:adjustRightInd w:val="0"/>
        <w:spacing w:line="240" w:lineRule="auto"/>
        <w:jc w:val="both"/>
        <w:rPr>
          <w:rFonts w:ascii="Aptos" w:hAnsi="Aptos" w:cs="Calibri"/>
        </w:rPr>
      </w:pPr>
      <w:r w:rsidRPr="00D401FA">
        <w:rPr>
          <w:rFonts w:ascii="Aptos" w:hAnsi="Aptos" w:cs="Calibri"/>
        </w:rPr>
        <w:t xml:space="preserve">Le Programme proposé </w:t>
      </w:r>
      <w:r w:rsidR="008801E8">
        <w:rPr>
          <w:rFonts w:ascii="Aptos" w:hAnsi="Aptos" w:cs="Calibri"/>
        </w:rPr>
        <w:t xml:space="preserve">bénéficie d’un bon éclairage de </w:t>
      </w:r>
      <w:r w:rsidRPr="00D401FA">
        <w:rPr>
          <w:rFonts w:ascii="Aptos" w:hAnsi="Aptos" w:cs="Calibri"/>
        </w:rPr>
        <w:t xml:space="preserve">divers travaux analytiques mettant en évidence la nécessité critique d’investir dans une éducation préscolaire, de base et secondaire de qualité, notamment le RESEN 2023. Il intègre les principaux enseignements tirés du projet en cours dans le secteur de l’éducation en Mauritanie, à savoir le Projet d’appui au secteur de </w:t>
      </w:r>
      <w:r w:rsidRPr="00D401FA">
        <w:rPr>
          <w:rFonts w:ascii="Aptos" w:hAnsi="Aptos" w:cs="Calibri"/>
        </w:rPr>
        <w:lastRenderedPageBreak/>
        <w:t xml:space="preserve">l’éducation de base (P163143), et capitalise sur l’expérience mondiale de la Banque mondiale dans la mise en œuvre d’opérations </w:t>
      </w:r>
      <w:proofErr w:type="spellStart"/>
      <w:r w:rsidRPr="00D401FA">
        <w:rPr>
          <w:rFonts w:ascii="Aptos" w:hAnsi="Aptos" w:cs="Calibri"/>
        </w:rPr>
        <w:t>PforR</w:t>
      </w:r>
      <w:proofErr w:type="spellEnd"/>
      <w:r w:rsidRPr="00D401FA">
        <w:rPr>
          <w:rFonts w:ascii="Aptos" w:hAnsi="Aptos" w:cs="Calibri"/>
        </w:rPr>
        <w:t>. Les principaux enseignements tirés ont été intégrés dans la conception du Programme, comme détaillé dans les paragraphes suivants.</w:t>
      </w:r>
    </w:p>
    <w:p w14:paraId="0F4DFED5" w14:textId="441C47D0" w:rsidR="00236F34" w:rsidRPr="00D401FA" w:rsidRDefault="00236F34" w:rsidP="00216CAF">
      <w:pPr>
        <w:autoSpaceDE w:val="0"/>
        <w:autoSpaceDN w:val="0"/>
        <w:adjustRightInd w:val="0"/>
        <w:spacing w:line="240" w:lineRule="auto"/>
        <w:jc w:val="both"/>
        <w:rPr>
          <w:rFonts w:ascii="Aptos" w:hAnsi="Aptos" w:cs="Calibri"/>
        </w:rPr>
      </w:pPr>
      <w:r w:rsidRPr="00E869FC">
        <w:rPr>
          <w:rFonts w:ascii="Aptos" w:hAnsi="Aptos" w:cs="Calibri"/>
          <w:b/>
          <w:bCs/>
        </w:rPr>
        <w:t>La focalisation et la simplicité de la conception du Programme sont essentielles à une mise en œuvre efficace</w:t>
      </w:r>
      <w:r w:rsidRPr="00D401FA">
        <w:rPr>
          <w:rFonts w:ascii="Aptos" w:hAnsi="Aptos" w:cs="Calibri"/>
        </w:rPr>
        <w:t xml:space="preserve">. Étant donné qu’il s’agit de la première opération </w:t>
      </w:r>
      <w:proofErr w:type="spellStart"/>
      <w:r w:rsidRPr="00D401FA">
        <w:rPr>
          <w:rFonts w:ascii="Aptos" w:hAnsi="Aptos" w:cs="Calibri"/>
        </w:rPr>
        <w:t>PforR</w:t>
      </w:r>
      <w:proofErr w:type="spellEnd"/>
      <w:r w:rsidRPr="00D401FA">
        <w:rPr>
          <w:rFonts w:ascii="Aptos" w:hAnsi="Aptos" w:cs="Calibri"/>
        </w:rPr>
        <w:t xml:space="preserve"> dans le secteur de l’éducation en Mauritanie, il est essentiel que le Programme soit conçu de manière simple, avec un objectif de développement du Programme (ODP) clairement formulé et défini. Le Programme est stratégiquement centré sur des </w:t>
      </w:r>
      <w:r w:rsidR="00BA77B2">
        <w:rPr>
          <w:rFonts w:ascii="Aptos" w:hAnsi="Aptos" w:cs="Calibri"/>
        </w:rPr>
        <w:t>d</w:t>
      </w:r>
      <w:r w:rsidRPr="00D401FA">
        <w:rPr>
          <w:rFonts w:ascii="Aptos" w:hAnsi="Aptos" w:cs="Calibri"/>
        </w:rPr>
        <w:t xml:space="preserve">omaines de résultats critiques, ciblant des activités à fort impact </w:t>
      </w:r>
      <w:r w:rsidR="00BA77B2">
        <w:rPr>
          <w:rFonts w:ascii="Aptos" w:hAnsi="Aptos" w:cs="Calibri"/>
        </w:rPr>
        <w:t>qui garantissent</w:t>
      </w:r>
      <w:r w:rsidRPr="00D401FA">
        <w:rPr>
          <w:rFonts w:ascii="Aptos" w:hAnsi="Aptos" w:cs="Calibri"/>
        </w:rPr>
        <w:t xml:space="preserve"> que les ressources allouées bénéficient à un nombre important de bénéficiaires.</w:t>
      </w:r>
    </w:p>
    <w:p w14:paraId="3E35E395" w14:textId="3E549EAF" w:rsidR="00236F34" w:rsidRPr="00D401FA" w:rsidRDefault="00236F34" w:rsidP="00216CAF">
      <w:pPr>
        <w:autoSpaceDE w:val="0"/>
        <w:autoSpaceDN w:val="0"/>
        <w:adjustRightInd w:val="0"/>
        <w:spacing w:line="240" w:lineRule="auto"/>
        <w:jc w:val="both"/>
        <w:rPr>
          <w:rFonts w:ascii="Aptos" w:hAnsi="Aptos" w:cs="Calibri"/>
        </w:rPr>
      </w:pPr>
      <w:r w:rsidRPr="00D401FA">
        <w:rPr>
          <w:rFonts w:ascii="Aptos" w:hAnsi="Aptos" w:cs="Calibri"/>
        </w:rPr>
        <w:t xml:space="preserve">Dans le cadre de l’ESES, les activités financées par la Banque mondiale </w:t>
      </w:r>
      <w:r w:rsidR="00BA77B2">
        <w:rPr>
          <w:rFonts w:ascii="Aptos" w:hAnsi="Aptos" w:cs="Calibri"/>
        </w:rPr>
        <w:t>au titre</w:t>
      </w:r>
      <w:r w:rsidRPr="00D401FA">
        <w:rPr>
          <w:rFonts w:ascii="Aptos" w:hAnsi="Aptos" w:cs="Calibri"/>
        </w:rPr>
        <w:t xml:space="preserve"> du Programme proposé d’amélioration de la qualité, des résultats et de l’accès à l’éducation pour tous en Mauritanie (IQRAA) (P509243) ont été examinées, conduisant à la conclusion selon laquelle l’impact environnemental et social global du Programme, de manière cumulative, est Substantiel pour les raisons suivantes : </w:t>
      </w:r>
      <w:r w:rsidRPr="00BA77B2">
        <w:rPr>
          <w:rFonts w:ascii="Aptos" w:hAnsi="Aptos" w:cs="Calibri"/>
          <w:b/>
          <w:bCs/>
        </w:rPr>
        <w:t>le Programme présente un niveau de risque et d’impact Substantiel, les effets directs des activités environnementales et sociales étant substantiels au regard des activités prévues dans les Domaines de résultats 1 et 2, en lien avec les ILD 2, 7 et 9.</w:t>
      </w:r>
      <w:r w:rsidRPr="00D401FA">
        <w:rPr>
          <w:rFonts w:ascii="Aptos" w:hAnsi="Aptos" w:cs="Calibri"/>
        </w:rPr>
        <w:t xml:space="preserve"> Compte tenu de l’étendue du territoire mauritanien et des capacités institutionnelles limitées, l’achèvement des programmes de construction dans les délais impartis exige des stratégies spécifiques. Le Projet d’appui au secteur de l’éducation de base (PASEB) a mis en évidence des retards significatifs dans les activités de construction de salles de classe, dus en grande partie à des inefficacités dans les processus de passation des marchés, aux capacités limitées des entreprises de construction et des entrepreneurs, à un suivi insuffisant sur les chantiers et à l’inefficacité des mécanismes de contrôle qualité. Alors que ces défis persistent, la disponibilité d’infrastructures scolaires de qualité demeure un besoin critique pour le secteur.</w:t>
      </w:r>
    </w:p>
    <w:p w14:paraId="3468996E" w14:textId="34D1E1C4" w:rsidR="00236F34" w:rsidRPr="00D401FA" w:rsidRDefault="00236F34" w:rsidP="00216CAF">
      <w:pPr>
        <w:autoSpaceDE w:val="0"/>
        <w:autoSpaceDN w:val="0"/>
        <w:adjustRightInd w:val="0"/>
        <w:spacing w:line="240" w:lineRule="auto"/>
        <w:jc w:val="both"/>
        <w:rPr>
          <w:rFonts w:ascii="Aptos" w:hAnsi="Aptos" w:cs="Calibri"/>
        </w:rPr>
      </w:pPr>
      <w:r w:rsidRPr="00D401FA">
        <w:rPr>
          <w:rFonts w:ascii="Aptos" w:hAnsi="Aptos" w:cs="Calibri"/>
        </w:rPr>
        <w:t>Dans le cadre des Domaines de résultats 1 et 2, le Programme vise à doter les enseignants des outils nécessaires (y compris des compétences numériques) pour améliorer les interactions en classe et les résultats d’apprentissage, ainsi qu’à réhabiliter et construire de nouveaux établissements secondaires, en particulier dans les zones mal desservies où l’accès est fortement limité. Ces établissements seront dotés d’infrastructures climato-résilientes et sensibles au genre, telles que des installations sanitaires séparées</w:t>
      </w:r>
      <w:r w:rsidR="00BA77B2">
        <w:rPr>
          <w:rFonts w:ascii="Aptos" w:hAnsi="Aptos" w:cs="Calibri"/>
        </w:rPr>
        <w:t xml:space="preserve"> pour les filles et les garçons</w:t>
      </w:r>
      <w:r w:rsidRPr="00D401FA">
        <w:rPr>
          <w:rFonts w:ascii="Aptos" w:hAnsi="Aptos" w:cs="Calibri"/>
        </w:rPr>
        <w:t>, des espaces d’apprentissage sûrs et des équipements adéquats</w:t>
      </w:r>
      <w:r w:rsidR="00BA77B2">
        <w:rPr>
          <w:rFonts w:ascii="Aptos" w:hAnsi="Aptos" w:cs="Calibri"/>
        </w:rPr>
        <w:t xml:space="preserve"> dans les salles de classe</w:t>
      </w:r>
      <w:r w:rsidRPr="00D401FA">
        <w:rPr>
          <w:rFonts w:ascii="Aptos" w:hAnsi="Aptos" w:cs="Calibri"/>
        </w:rPr>
        <w:t>. Ces améliorations sont essentielles pour créer un environnement d’apprentissage propice, notamment pour les filles qui quittent souvent l’école en raison de préoccupations liées à la sécurité et à l’intimité.</w:t>
      </w:r>
    </w:p>
    <w:p w14:paraId="2BD2E3AF" w14:textId="77777777" w:rsidR="00236F34" w:rsidRPr="00D401FA" w:rsidRDefault="00236F34" w:rsidP="00216CAF">
      <w:pPr>
        <w:autoSpaceDE w:val="0"/>
        <w:autoSpaceDN w:val="0"/>
        <w:adjustRightInd w:val="0"/>
        <w:spacing w:line="240" w:lineRule="auto"/>
        <w:jc w:val="both"/>
        <w:rPr>
          <w:rFonts w:ascii="Aptos" w:hAnsi="Aptos" w:cs="Calibri"/>
        </w:rPr>
      </w:pPr>
      <w:r w:rsidRPr="00D401FA">
        <w:rPr>
          <w:rFonts w:ascii="Aptos" w:hAnsi="Aptos" w:cs="Calibri"/>
        </w:rPr>
        <w:t>La réhabilitation et la construction de salles de classe pourraient entraîner certains risques environnementaux et sociaux liés aux travaux physiques. En revanche, les bénéfices environnementaux sont minimaux et se concentrent principalement sur l’entretien et la propreté des enceintes scolaires, y compris les installations sanitaires.</w:t>
      </w:r>
    </w:p>
    <w:p w14:paraId="598B3B59" w14:textId="77777777" w:rsidR="00BC3AB9" w:rsidRPr="00E869FC" w:rsidRDefault="00BC3AB9" w:rsidP="008B048C">
      <w:pPr>
        <w:pStyle w:val="ListParagraph"/>
        <w:numPr>
          <w:ilvl w:val="0"/>
          <w:numId w:val="31"/>
        </w:numPr>
        <w:autoSpaceDE w:val="0"/>
        <w:autoSpaceDN w:val="0"/>
        <w:adjustRightInd w:val="0"/>
        <w:spacing w:line="240" w:lineRule="auto"/>
        <w:jc w:val="both"/>
        <w:rPr>
          <w:rFonts w:ascii="Aptos" w:hAnsi="Aptos" w:cs="Calibri"/>
          <w:b/>
          <w:bCs/>
        </w:rPr>
      </w:pPr>
      <w:r w:rsidRPr="00E869FC">
        <w:rPr>
          <w:rFonts w:ascii="Aptos" w:hAnsi="Aptos" w:cs="Calibri"/>
          <w:b/>
          <w:bCs/>
        </w:rPr>
        <w:t>Risques et impacts environnementaux attendus</w:t>
      </w:r>
    </w:p>
    <w:p w14:paraId="4D70A8D6" w14:textId="1D5F5502" w:rsidR="00BC3AB9" w:rsidRPr="00D401FA" w:rsidRDefault="00BC3AB9" w:rsidP="00216CAF">
      <w:pPr>
        <w:autoSpaceDE w:val="0"/>
        <w:autoSpaceDN w:val="0"/>
        <w:adjustRightInd w:val="0"/>
        <w:spacing w:line="240" w:lineRule="auto"/>
        <w:jc w:val="both"/>
        <w:rPr>
          <w:rFonts w:ascii="Aptos" w:hAnsi="Aptos" w:cs="Calibri"/>
        </w:rPr>
      </w:pPr>
      <w:r w:rsidRPr="00D401FA">
        <w:rPr>
          <w:rFonts w:ascii="Aptos" w:hAnsi="Aptos" w:cs="Calibri"/>
        </w:rPr>
        <w:t xml:space="preserve">Le Programme IQRAA comprend certaines activités </w:t>
      </w:r>
      <w:r w:rsidR="004758F0">
        <w:rPr>
          <w:rFonts w:ascii="Aptos" w:hAnsi="Aptos" w:cs="Calibri"/>
        </w:rPr>
        <w:t xml:space="preserve"> qui pourraient </w:t>
      </w:r>
      <w:r w:rsidRPr="00D401FA">
        <w:rPr>
          <w:rFonts w:ascii="Aptos" w:hAnsi="Aptos" w:cs="Calibri"/>
        </w:rPr>
        <w:t xml:space="preserve">avoir un impact sur l’environnement. La réhabilitation et la construction de salles de classe au titre de l’ILD </w:t>
      </w:r>
      <w:r w:rsidR="003F38BA">
        <w:rPr>
          <w:rFonts w:ascii="Aptos" w:hAnsi="Aptos" w:cs="Calibri"/>
        </w:rPr>
        <w:t>7</w:t>
      </w:r>
      <w:r w:rsidRPr="00D401FA">
        <w:rPr>
          <w:rFonts w:ascii="Aptos" w:hAnsi="Aptos" w:cs="Calibri"/>
        </w:rPr>
        <w:t xml:space="preserve"> pourraient avoir des impacts significatifs sur l’environnement. La passation de marchés de travaux, la construction et la réhabilitation des salles de classe s’accompagnent de risques environnementaux directs et indirects importants, tels que la production de déchets solides, les nuisances sonores, la dégradation des sols, la pollution de l’air et la destruction de la flore et de la faune, pouvant entraîner une perte de biodiversité.</w:t>
      </w:r>
    </w:p>
    <w:p w14:paraId="7609FBF8" w14:textId="38CA40AD" w:rsidR="00BC3AB9" w:rsidRPr="00D401FA" w:rsidRDefault="00BC3AB9" w:rsidP="00216CAF">
      <w:pPr>
        <w:autoSpaceDE w:val="0"/>
        <w:autoSpaceDN w:val="0"/>
        <w:adjustRightInd w:val="0"/>
        <w:spacing w:line="240" w:lineRule="auto"/>
        <w:jc w:val="both"/>
        <w:rPr>
          <w:rFonts w:ascii="Aptos" w:hAnsi="Aptos" w:cs="Calibri"/>
        </w:rPr>
      </w:pPr>
      <w:r w:rsidRPr="00D401FA">
        <w:rPr>
          <w:rFonts w:ascii="Aptos" w:hAnsi="Aptos" w:cs="Calibri"/>
        </w:rPr>
        <w:lastRenderedPageBreak/>
        <w:t xml:space="preserve">L’amélioration de l’efficacité des enseignants au titre de l’ILD 2, ainsi que la production d’annuaires statistiques générés par le SIRAGE et leur publication sur le site web du </w:t>
      </w:r>
      <w:r w:rsidR="00C71F21">
        <w:rPr>
          <w:rFonts w:ascii="Aptos" w:hAnsi="Aptos" w:cs="Calibri"/>
        </w:rPr>
        <w:t>m</w:t>
      </w:r>
      <w:r w:rsidRPr="00D401FA">
        <w:rPr>
          <w:rFonts w:ascii="Aptos" w:hAnsi="Aptos" w:cs="Calibri"/>
        </w:rPr>
        <w:t xml:space="preserve">inistère au titre de l’ILD </w:t>
      </w:r>
      <w:r w:rsidR="003F38BA">
        <w:rPr>
          <w:rFonts w:ascii="Aptos" w:hAnsi="Aptos" w:cs="Calibri"/>
        </w:rPr>
        <w:t>9</w:t>
      </w:r>
      <w:r w:rsidRPr="00D401FA">
        <w:rPr>
          <w:rFonts w:ascii="Aptos" w:hAnsi="Aptos" w:cs="Calibri"/>
        </w:rPr>
        <w:t xml:space="preserve"> impliqueront l’impression de manuels scolaires et de guides pédagogiques comprenant des plans de leçon structurés. Ces impressions pourraient nécessiter de consommer une quantité importante de papier, avec des impacts sur les ressources forestières utilisées pour sa production. La numérisation des supports pédagogiques pourrait permettre de réduire ces impacts.</w:t>
      </w:r>
    </w:p>
    <w:p w14:paraId="78145E50" w14:textId="77777777" w:rsidR="00BC3AB9" w:rsidRPr="00D401FA" w:rsidRDefault="00BC3AB9" w:rsidP="00216CAF">
      <w:pPr>
        <w:autoSpaceDE w:val="0"/>
        <w:autoSpaceDN w:val="0"/>
        <w:adjustRightInd w:val="0"/>
        <w:spacing w:line="240" w:lineRule="auto"/>
        <w:jc w:val="both"/>
        <w:rPr>
          <w:rFonts w:ascii="Aptos" w:hAnsi="Aptos" w:cs="Calibri"/>
        </w:rPr>
      </w:pPr>
      <w:r w:rsidRPr="00D401FA">
        <w:rPr>
          <w:rFonts w:ascii="Aptos" w:hAnsi="Aptos" w:cs="Calibri"/>
        </w:rPr>
        <w:t>En outre, le déploiement éventuel de supports pédagogiques auprès des enseignants dans les zones mal desservies, sous forme d’appareils numériques, ainsi que la numérisation des outils d’observation des enseignants et l’utilisation accrue de solutions numériques associées aux ILD 2, 7 et 9, pourraient entraîner la production de déchets électroniques.</w:t>
      </w:r>
    </w:p>
    <w:p w14:paraId="1BE33C0A" w14:textId="77777777" w:rsidR="00BC3AB9" w:rsidRPr="00E869FC" w:rsidRDefault="00BC3AB9" w:rsidP="008B048C">
      <w:pPr>
        <w:pStyle w:val="ListParagraph"/>
        <w:numPr>
          <w:ilvl w:val="0"/>
          <w:numId w:val="31"/>
        </w:numPr>
        <w:autoSpaceDE w:val="0"/>
        <w:autoSpaceDN w:val="0"/>
        <w:adjustRightInd w:val="0"/>
        <w:spacing w:line="240" w:lineRule="auto"/>
        <w:jc w:val="both"/>
        <w:rPr>
          <w:rFonts w:ascii="Aptos" w:hAnsi="Aptos" w:cs="Calibri"/>
          <w:b/>
          <w:bCs/>
        </w:rPr>
      </w:pPr>
      <w:r w:rsidRPr="00E869FC">
        <w:rPr>
          <w:rFonts w:ascii="Aptos" w:hAnsi="Aptos" w:cs="Calibri"/>
          <w:b/>
          <w:bCs/>
        </w:rPr>
        <w:t>Risques et impacts sociaux attendus</w:t>
      </w:r>
    </w:p>
    <w:p w14:paraId="77830B52" w14:textId="77777777" w:rsidR="00BC3AB9" w:rsidRPr="00D401FA" w:rsidRDefault="00BC3AB9" w:rsidP="00216CAF">
      <w:pPr>
        <w:autoSpaceDE w:val="0"/>
        <w:autoSpaceDN w:val="0"/>
        <w:adjustRightInd w:val="0"/>
        <w:spacing w:line="240" w:lineRule="auto"/>
        <w:jc w:val="both"/>
        <w:rPr>
          <w:rFonts w:ascii="Aptos" w:hAnsi="Aptos" w:cs="Calibri"/>
        </w:rPr>
      </w:pPr>
      <w:r w:rsidRPr="00D401FA">
        <w:rPr>
          <w:rFonts w:ascii="Aptos" w:hAnsi="Aptos" w:cs="Calibri"/>
        </w:rPr>
        <w:t>Le Programme IQRAA comporte également certains risques sociaux. La construction et la mise en place de salles de classe par les communautés au titre de l’ILD 7 pourraient avoir des impacts sur la santé et la sécurité des travailleurs impliqués dans ces travaux. Les travailleurs pourraient être exposés à des pollutions résultant des poussières et du bruit sur les chantiers. Des risques de travail des enfants pourraient également apparaître, ainsi qu’un afflux de travailleurs dans les communautés concernées par les travaux de réhabilitation, ce qui pourrait susciter des plaintes de la part des communautés d’accueil. Ces afflux pourraient affecter les communautés, notamment à travers des cas d’abus sexuels et d’autres comportements à risque. La non-accessibilité des établissements scolaires pour les enfants et le personnel en situation de handicap peut renforcer les situations d’exclusion. Il est essentiel que les activités de construction garantissent l’accessibilité des infrastructures publiques à tous, y compris aux personnes en situation de handicap.</w:t>
      </w:r>
    </w:p>
    <w:p w14:paraId="795631C3" w14:textId="7C85BEF5" w:rsidR="00BC3AB9" w:rsidRPr="00D401FA" w:rsidRDefault="00BC3AB9" w:rsidP="00216CAF">
      <w:pPr>
        <w:autoSpaceDE w:val="0"/>
        <w:autoSpaceDN w:val="0"/>
        <w:adjustRightInd w:val="0"/>
        <w:spacing w:line="240" w:lineRule="auto"/>
        <w:jc w:val="both"/>
        <w:rPr>
          <w:rFonts w:ascii="Aptos" w:hAnsi="Aptos" w:cs="Calibri"/>
        </w:rPr>
      </w:pPr>
      <w:r w:rsidRPr="00D401FA">
        <w:rPr>
          <w:rFonts w:ascii="Aptos" w:hAnsi="Aptos" w:cs="Calibri"/>
        </w:rPr>
        <w:t>Il existe également un risque d’exclusion des enfants en situation de handicap en l’absence d’approches ciblées visant à les inclure en tant que bénéficiaires du Programme ou à rendre les établissements scolaires inclusifs. Le travail des enfants pourrait survenir. Des risques d’abus envers les enfants, d’EAS/HS, ainsi que de harcèlement ou d’abus à l’égard des femmes dans le cadre du recrutement et de la nomination d’enseignants qualifiés, au titre de l’ILD 7, pourraient également se produire. En outre, l’exclusion de groupes vulnérables et des discriminations fondées sur l’appartenance ethnique ou la religion dans l’accès à l’école, la formation des enseignants à l’utilisation de supports pédagogiques structurés, l’accompagnement des encadreurs dans l’utilisation appropriée des outils et des bonnes pratiques d’encadrement, ainsi que le recrutement d’enseignants qualifiés, pourraient entraîner des plaintes, des tensions sociales et des manifestations. Des conflits et des risques sécuritaires pourraient perturber le Programme, dans la mesure où les écoles et les enseignants peuvent être ciblés par des</w:t>
      </w:r>
      <w:r w:rsidR="00A95696">
        <w:rPr>
          <w:rFonts w:ascii="Aptos" w:hAnsi="Aptos" w:cs="Calibri"/>
        </w:rPr>
        <w:t xml:space="preserve"> insurgés</w:t>
      </w:r>
      <w:r w:rsidRPr="00D401FA">
        <w:rPr>
          <w:rFonts w:ascii="Aptos" w:hAnsi="Aptos" w:cs="Calibri"/>
        </w:rPr>
        <w:t>. Une résistance de certains membres de la communauté, qui pourraient percevoir le Programme, notamment en faveur des filles, comme contraire aux normes socioculturelles, pourrait également apparaître. À l’inverse, l’exclusion des parties prenantes peut également engendrer de la méfiance et une résistance vis-à-vis du Programme.</w:t>
      </w:r>
    </w:p>
    <w:p w14:paraId="7ABFF21C" w14:textId="77777777" w:rsidR="00BC3AB9" w:rsidRPr="00D401FA" w:rsidRDefault="00BC3AB9" w:rsidP="00216CAF">
      <w:pPr>
        <w:autoSpaceDE w:val="0"/>
        <w:autoSpaceDN w:val="0"/>
        <w:adjustRightInd w:val="0"/>
        <w:spacing w:line="240" w:lineRule="auto"/>
        <w:jc w:val="both"/>
        <w:rPr>
          <w:rFonts w:ascii="Aptos" w:hAnsi="Aptos" w:cs="Calibri"/>
        </w:rPr>
      </w:pPr>
      <w:r w:rsidRPr="00D401FA">
        <w:rPr>
          <w:rFonts w:ascii="Aptos" w:hAnsi="Aptos" w:cs="Calibri"/>
        </w:rPr>
        <w:t>Par ailleurs, l’acquisition de terres pour les travaux de construction et d’extension des salles de classe dans les communautés, associée aux activités de l’ILD 7, pourrait entraîner des conflits entre les membres des communautés si elle n’est pas correctement encadrée, notamment à travers l’application d’un protocole acceptable de don de terres.</w:t>
      </w:r>
    </w:p>
    <w:p w14:paraId="4AD1A64A" w14:textId="77777777" w:rsidR="00E869FC" w:rsidRDefault="00BC3AB9" w:rsidP="00216CAF">
      <w:pPr>
        <w:autoSpaceDE w:val="0"/>
        <w:autoSpaceDN w:val="0"/>
        <w:adjustRightInd w:val="0"/>
        <w:spacing w:line="240" w:lineRule="auto"/>
        <w:jc w:val="both"/>
        <w:rPr>
          <w:rFonts w:ascii="Aptos" w:hAnsi="Aptos" w:cs="Calibri"/>
        </w:rPr>
      </w:pPr>
      <w:r w:rsidRPr="00D401FA">
        <w:rPr>
          <w:rFonts w:ascii="Aptos" w:hAnsi="Aptos" w:cs="Calibri"/>
        </w:rPr>
        <w:t xml:space="preserve">Le Programme IQRAA, conçu comme un </w:t>
      </w:r>
      <w:proofErr w:type="spellStart"/>
      <w:r w:rsidRPr="00D401FA">
        <w:rPr>
          <w:rFonts w:ascii="Aptos" w:hAnsi="Aptos" w:cs="Calibri"/>
        </w:rPr>
        <w:t>PforR</w:t>
      </w:r>
      <w:proofErr w:type="spellEnd"/>
      <w:r w:rsidRPr="00D401FA">
        <w:rPr>
          <w:rFonts w:ascii="Aptos" w:hAnsi="Aptos" w:cs="Calibri"/>
        </w:rPr>
        <w:t xml:space="preserve">, exclut par principe tout investissement comportant des </w:t>
      </w:r>
      <w:r w:rsidRPr="00A95696">
        <w:rPr>
          <w:rFonts w:ascii="Aptos" w:hAnsi="Aptos" w:cs="Calibri"/>
          <w:i/>
          <w:iCs/>
        </w:rPr>
        <w:t>risques environnementaux et sociaux significatifs, susceptibles d’engendrer des impacts négatifs divers, étendus, irréversibles et sans précédent</w:t>
      </w:r>
      <w:r w:rsidRPr="00D401FA">
        <w:rPr>
          <w:rFonts w:ascii="Aptos" w:hAnsi="Aptos" w:cs="Calibri"/>
        </w:rPr>
        <w:t xml:space="preserve">. Ainsi, dans le cadre du </w:t>
      </w:r>
      <w:proofErr w:type="spellStart"/>
      <w:r w:rsidRPr="00D401FA">
        <w:rPr>
          <w:rFonts w:ascii="Aptos" w:hAnsi="Aptos" w:cs="Calibri"/>
        </w:rPr>
        <w:t>PforR</w:t>
      </w:r>
      <w:proofErr w:type="spellEnd"/>
      <w:r w:rsidRPr="00D401FA">
        <w:rPr>
          <w:rFonts w:ascii="Aptos" w:hAnsi="Aptos" w:cs="Calibri"/>
        </w:rPr>
        <w:t>, sont exclus tous les sous-projets portant sur :</w:t>
      </w:r>
    </w:p>
    <w:p w14:paraId="3B8EFA81" w14:textId="77777777" w:rsidR="00E869FC" w:rsidRDefault="00BC3AB9" w:rsidP="008B048C">
      <w:pPr>
        <w:pStyle w:val="ListParagraph"/>
        <w:numPr>
          <w:ilvl w:val="1"/>
          <w:numId w:val="6"/>
        </w:numPr>
        <w:autoSpaceDE w:val="0"/>
        <w:autoSpaceDN w:val="0"/>
        <w:adjustRightInd w:val="0"/>
        <w:spacing w:line="240" w:lineRule="auto"/>
        <w:jc w:val="both"/>
        <w:rPr>
          <w:rFonts w:ascii="Aptos" w:hAnsi="Aptos" w:cs="Calibri"/>
        </w:rPr>
      </w:pPr>
      <w:r w:rsidRPr="00E869FC">
        <w:rPr>
          <w:rFonts w:ascii="Aptos" w:hAnsi="Aptos" w:cs="Calibri"/>
        </w:rPr>
        <w:lastRenderedPageBreak/>
        <w:t>La construction ou la réhabilitation d’ouvrages nécessitant des déplacements importants de populations, des acquisitions massives de terres, la démolition d’un grand nombre d’habitations individuelles ou des restrictions significatives d’accès aux ressources économiques ;</w:t>
      </w:r>
    </w:p>
    <w:p w14:paraId="1AC55AEA" w14:textId="77777777" w:rsidR="00E869FC" w:rsidRDefault="00BC3AB9" w:rsidP="008B048C">
      <w:pPr>
        <w:pStyle w:val="ListParagraph"/>
        <w:numPr>
          <w:ilvl w:val="1"/>
          <w:numId w:val="6"/>
        </w:numPr>
        <w:autoSpaceDE w:val="0"/>
        <w:autoSpaceDN w:val="0"/>
        <w:adjustRightInd w:val="0"/>
        <w:spacing w:line="240" w:lineRule="auto"/>
        <w:jc w:val="both"/>
        <w:rPr>
          <w:rFonts w:ascii="Aptos" w:hAnsi="Aptos" w:cs="Calibri"/>
        </w:rPr>
      </w:pPr>
      <w:r w:rsidRPr="00E869FC">
        <w:rPr>
          <w:rFonts w:ascii="Aptos" w:hAnsi="Aptos" w:cs="Calibri"/>
        </w:rPr>
        <w:t>La construction ou la réhabilitation/modernisation d’ouvrages susceptibles d’exacerber des conflits sociaux, notamment liés à l’accès à la terre ;</w:t>
      </w:r>
    </w:p>
    <w:p w14:paraId="1153E17A" w14:textId="77777777" w:rsidR="00E869FC" w:rsidRDefault="00BC3AB9" w:rsidP="008B048C">
      <w:pPr>
        <w:pStyle w:val="ListParagraph"/>
        <w:numPr>
          <w:ilvl w:val="1"/>
          <w:numId w:val="6"/>
        </w:numPr>
        <w:autoSpaceDE w:val="0"/>
        <w:autoSpaceDN w:val="0"/>
        <w:adjustRightInd w:val="0"/>
        <w:spacing w:line="240" w:lineRule="auto"/>
        <w:jc w:val="both"/>
        <w:rPr>
          <w:rFonts w:ascii="Aptos" w:hAnsi="Aptos" w:cs="Calibri"/>
        </w:rPr>
      </w:pPr>
      <w:r w:rsidRPr="00E869FC">
        <w:rPr>
          <w:rFonts w:ascii="Aptos" w:hAnsi="Aptos" w:cs="Calibri"/>
        </w:rPr>
        <w:t>Des travaux susceptibles d’avoir un impact irréversible sur des ressources culturelles physiques de nature archéologique ou historique ;</w:t>
      </w:r>
    </w:p>
    <w:p w14:paraId="30B80825" w14:textId="73EC8FB2" w:rsidR="00BC3AB9" w:rsidRPr="00E869FC" w:rsidRDefault="00BC3AB9" w:rsidP="008B048C">
      <w:pPr>
        <w:pStyle w:val="ListParagraph"/>
        <w:numPr>
          <w:ilvl w:val="1"/>
          <w:numId w:val="6"/>
        </w:numPr>
        <w:autoSpaceDE w:val="0"/>
        <w:autoSpaceDN w:val="0"/>
        <w:adjustRightInd w:val="0"/>
        <w:spacing w:line="240" w:lineRule="auto"/>
        <w:jc w:val="both"/>
        <w:rPr>
          <w:rFonts w:ascii="Aptos" w:hAnsi="Aptos" w:cs="Calibri"/>
        </w:rPr>
      </w:pPr>
      <w:r w:rsidRPr="00E869FC">
        <w:rPr>
          <w:rFonts w:ascii="Aptos" w:hAnsi="Aptos" w:cs="Calibri"/>
        </w:rPr>
        <w:t>Des travaux réalisés dans des sites présentant un intérêt biologique ou écologique.</w:t>
      </w:r>
    </w:p>
    <w:p w14:paraId="1F1D438B" w14:textId="77777777" w:rsidR="00BC3AB9" w:rsidRPr="00D401FA" w:rsidRDefault="00BC3AB9" w:rsidP="00216CAF">
      <w:pPr>
        <w:autoSpaceDE w:val="0"/>
        <w:autoSpaceDN w:val="0"/>
        <w:adjustRightInd w:val="0"/>
        <w:spacing w:line="240" w:lineRule="auto"/>
        <w:jc w:val="both"/>
        <w:rPr>
          <w:rFonts w:ascii="Aptos" w:hAnsi="Aptos" w:cs="Calibri"/>
        </w:rPr>
      </w:pPr>
      <w:r w:rsidRPr="00D401FA">
        <w:rPr>
          <w:rFonts w:ascii="Aptos" w:hAnsi="Aptos" w:cs="Calibri"/>
        </w:rPr>
        <w:t xml:space="preserve">Enfin, il convient de noter que, conformément à la politique de la Banque mondiale relative au financement </w:t>
      </w:r>
      <w:proofErr w:type="spellStart"/>
      <w:r w:rsidRPr="00D401FA">
        <w:rPr>
          <w:rFonts w:ascii="Aptos" w:hAnsi="Aptos" w:cs="Calibri"/>
        </w:rPr>
        <w:t>PforR</w:t>
      </w:r>
      <w:proofErr w:type="spellEnd"/>
      <w:r w:rsidRPr="00D401FA">
        <w:rPr>
          <w:rFonts w:ascii="Aptos" w:hAnsi="Aptos" w:cs="Calibri"/>
        </w:rPr>
        <w:t>, les travaux dont les montants estimatifs dépassent certains seuils nécessitant un examen obligatoire par le Comité d’examen de la passation des marchés des opérations (OPRC) de la Banque mondiale sont également exclus.</w:t>
      </w:r>
    </w:p>
    <w:p w14:paraId="40B4E5A4" w14:textId="77777777" w:rsidR="00BC3AB9" w:rsidRPr="00E869FC" w:rsidRDefault="00BC3AB9" w:rsidP="00216CAF">
      <w:pPr>
        <w:autoSpaceDE w:val="0"/>
        <w:autoSpaceDN w:val="0"/>
        <w:adjustRightInd w:val="0"/>
        <w:spacing w:line="240" w:lineRule="auto"/>
        <w:jc w:val="both"/>
        <w:rPr>
          <w:rFonts w:ascii="Aptos" w:hAnsi="Aptos" w:cs="Calibri"/>
          <w:b/>
          <w:bCs/>
        </w:rPr>
      </w:pPr>
      <w:r w:rsidRPr="00E869FC">
        <w:rPr>
          <w:rFonts w:ascii="Aptos" w:hAnsi="Aptos" w:cs="Calibri"/>
          <w:b/>
          <w:bCs/>
        </w:rPr>
        <w:t>Encadré 1 : Investissements exclus</w:t>
      </w:r>
    </w:p>
    <w:tbl>
      <w:tblPr>
        <w:tblStyle w:val="TableGrid"/>
        <w:tblW w:w="0" w:type="auto"/>
        <w:tblLook w:val="04A0" w:firstRow="1" w:lastRow="0" w:firstColumn="1" w:lastColumn="0" w:noHBand="0" w:noVBand="1"/>
      </w:tblPr>
      <w:tblGrid>
        <w:gridCol w:w="9062"/>
      </w:tblGrid>
      <w:tr w:rsidR="00BC3AB9" w:rsidRPr="00D401FA" w14:paraId="4FB2003A" w14:textId="77777777" w:rsidTr="00F34F90">
        <w:tc>
          <w:tcPr>
            <w:tcW w:w="9062" w:type="dxa"/>
            <w:shd w:val="clear" w:color="auto" w:fill="EDEDED" w:themeFill="accent3" w:themeFillTint="33"/>
          </w:tcPr>
          <w:p w14:paraId="3FA4133F" w14:textId="77777777" w:rsidR="006E57C8" w:rsidRPr="00A95696" w:rsidRDefault="00BC3AB9" w:rsidP="00A95696">
            <w:pPr>
              <w:autoSpaceDE w:val="0"/>
              <w:autoSpaceDN w:val="0"/>
              <w:adjustRightInd w:val="0"/>
              <w:spacing w:line="216" w:lineRule="auto"/>
              <w:jc w:val="both"/>
              <w:rPr>
                <w:rFonts w:ascii="Aptos" w:hAnsi="Aptos" w:cs="Calibri"/>
                <w:sz w:val="20"/>
                <w:szCs w:val="20"/>
              </w:rPr>
            </w:pPr>
            <w:r w:rsidRPr="00A95696">
              <w:rPr>
                <w:rFonts w:ascii="Aptos" w:hAnsi="Aptos" w:cs="Calibri"/>
                <w:sz w:val="20"/>
                <w:szCs w:val="20"/>
              </w:rPr>
              <w:t xml:space="preserve">Conformément à la politique de la Banque mondiale sur le financement des opérations </w:t>
            </w:r>
            <w:proofErr w:type="spellStart"/>
            <w:r w:rsidRPr="00A95696">
              <w:rPr>
                <w:rFonts w:ascii="Aptos" w:hAnsi="Aptos" w:cs="Calibri"/>
                <w:sz w:val="20"/>
                <w:szCs w:val="20"/>
              </w:rPr>
              <w:t>PforR</w:t>
            </w:r>
            <w:proofErr w:type="spellEnd"/>
            <w:r w:rsidRPr="00A95696">
              <w:rPr>
                <w:rFonts w:ascii="Aptos" w:hAnsi="Aptos" w:cs="Calibri"/>
                <w:sz w:val="20"/>
                <w:szCs w:val="20"/>
              </w:rPr>
              <w:t>, sont exclus tous les investissements susceptibles d’impliquer :</w:t>
            </w:r>
          </w:p>
          <w:p w14:paraId="648F1D25" w14:textId="77777777" w:rsidR="006E57C8" w:rsidRPr="00A95696" w:rsidRDefault="00BC3AB9" w:rsidP="008B048C">
            <w:pPr>
              <w:pStyle w:val="ListParagraph"/>
              <w:numPr>
                <w:ilvl w:val="0"/>
                <w:numId w:val="32"/>
              </w:numPr>
              <w:autoSpaceDE w:val="0"/>
              <w:autoSpaceDN w:val="0"/>
              <w:adjustRightInd w:val="0"/>
              <w:spacing w:line="216" w:lineRule="auto"/>
              <w:jc w:val="both"/>
              <w:rPr>
                <w:rFonts w:ascii="Aptos" w:hAnsi="Aptos" w:cs="Calibri"/>
                <w:sz w:val="20"/>
                <w:szCs w:val="20"/>
              </w:rPr>
            </w:pPr>
            <w:r w:rsidRPr="00A95696">
              <w:rPr>
                <w:rFonts w:ascii="Aptos" w:hAnsi="Aptos" w:cs="Calibri"/>
                <w:sz w:val="20"/>
                <w:szCs w:val="20"/>
              </w:rPr>
              <w:t>La conversion ou la dégradation significative d’habitats naturels critiques ou de sites du patrimoine culturel critique ;</w:t>
            </w:r>
          </w:p>
          <w:p w14:paraId="4A4B7642" w14:textId="77777777" w:rsidR="00A95696" w:rsidRDefault="00BC3AB9" w:rsidP="008B048C">
            <w:pPr>
              <w:pStyle w:val="ListParagraph"/>
              <w:numPr>
                <w:ilvl w:val="0"/>
                <w:numId w:val="32"/>
              </w:numPr>
              <w:autoSpaceDE w:val="0"/>
              <w:autoSpaceDN w:val="0"/>
              <w:adjustRightInd w:val="0"/>
              <w:spacing w:line="216" w:lineRule="auto"/>
              <w:jc w:val="both"/>
              <w:rPr>
                <w:rFonts w:ascii="Aptos" w:hAnsi="Aptos" w:cs="Calibri"/>
                <w:sz w:val="20"/>
                <w:szCs w:val="20"/>
              </w:rPr>
            </w:pPr>
            <w:r w:rsidRPr="00A95696">
              <w:rPr>
                <w:rFonts w:ascii="Aptos" w:hAnsi="Aptos" w:cs="Calibri"/>
                <w:sz w:val="20"/>
                <w:szCs w:val="20"/>
              </w:rPr>
              <w:t>Une contamination de l’air, de l’eau ou des sols ayant des effets négatifs significatifs sur la santé ou la sécurité des individus, des communautés ou des écosystèmes ;</w:t>
            </w:r>
          </w:p>
          <w:p w14:paraId="2C7EFDA1" w14:textId="1BBD5AA7" w:rsidR="006E57C8" w:rsidRPr="00A95696" w:rsidRDefault="00BC3AB9" w:rsidP="008B048C">
            <w:pPr>
              <w:pStyle w:val="ListParagraph"/>
              <w:numPr>
                <w:ilvl w:val="0"/>
                <w:numId w:val="32"/>
              </w:numPr>
              <w:autoSpaceDE w:val="0"/>
              <w:autoSpaceDN w:val="0"/>
              <w:adjustRightInd w:val="0"/>
              <w:spacing w:line="216" w:lineRule="auto"/>
              <w:jc w:val="both"/>
              <w:rPr>
                <w:rFonts w:ascii="Aptos" w:hAnsi="Aptos" w:cs="Calibri"/>
                <w:sz w:val="20"/>
                <w:szCs w:val="20"/>
              </w:rPr>
            </w:pPr>
            <w:r w:rsidRPr="00A95696">
              <w:rPr>
                <w:rFonts w:ascii="Aptos" w:hAnsi="Aptos" w:cs="Calibri"/>
                <w:sz w:val="20"/>
                <w:szCs w:val="20"/>
              </w:rPr>
              <w:t>Des conditions de travail exposant les travailleurs à des risques importants pour leur santé et leur sécurité ;</w:t>
            </w:r>
          </w:p>
          <w:p w14:paraId="690F8E21" w14:textId="77777777" w:rsidR="006E57C8" w:rsidRPr="00A95696" w:rsidRDefault="00BC3AB9" w:rsidP="008B048C">
            <w:pPr>
              <w:pStyle w:val="ListParagraph"/>
              <w:numPr>
                <w:ilvl w:val="0"/>
                <w:numId w:val="32"/>
              </w:numPr>
              <w:autoSpaceDE w:val="0"/>
              <w:autoSpaceDN w:val="0"/>
              <w:adjustRightInd w:val="0"/>
              <w:spacing w:line="216" w:lineRule="auto"/>
              <w:jc w:val="both"/>
              <w:rPr>
                <w:rFonts w:ascii="Aptos" w:hAnsi="Aptos" w:cs="Calibri"/>
                <w:sz w:val="20"/>
                <w:szCs w:val="20"/>
              </w:rPr>
            </w:pPr>
            <w:r w:rsidRPr="00A95696">
              <w:rPr>
                <w:rFonts w:ascii="Aptos" w:hAnsi="Aptos" w:cs="Calibri"/>
                <w:sz w:val="20"/>
                <w:szCs w:val="20"/>
              </w:rPr>
              <w:t>L’acquisition de terres et/ou la réinstallation d’une ampleur ou d’une nature susceptibles d’avoir des impacts négatifs significatifs sur les personnes affectées, ou le recours à des expulsions forcées ;</w:t>
            </w:r>
            <w:r w:rsidR="006E57C8" w:rsidRPr="00A95696">
              <w:rPr>
                <w:rFonts w:ascii="Aptos" w:hAnsi="Aptos" w:cs="Calibri"/>
                <w:sz w:val="20"/>
                <w:szCs w:val="20"/>
              </w:rPr>
              <w:t xml:space="preserve"> </w:t>
            </w:r>
          </w:p>
          <w:p w14:paraId="5EAE8209" w14:textId="77777777" w:rsidR="006E57C8" w:rsidRPr="00A95696" w:rsidRDefault="006E57C8" w:rsidP="008B048C">
            <w:pPr>
              <w:pStyle w:val="ListParagraph"/>
              <w:numPr>
                <w:ilvl w:val="0"/>
                <w:numId w:val="32"/>
              </w:numPr>
              <w:autoSpaceDE w:val="0"/>
              <w:autoSpaceDN w:val="0"/>
              <w:adjustRightInd w:val="0"/>
              <w:spacing w:line="216" w:lineRule="auto"/>
              <w:jc w:val="both"/>
              <w:rPr>
                <w:rFonts w:ascii="Aptos" w:hAnsi="Aptos" w:cs="Calibri"/>
                <w:sz w:val="20"/>
                <w:szCs w:val="20"/>
              </w:rPr>
            </w:pPr>
            <w:r w:rsidRPr="00A95696">
              <w:rPr>
                <w:rFonts w:ascii="Aptos" w:hAnsi="Aptos" w:cs="Calibri"/>
                <w:sz w:val="20"/>
                <w:szCs w:val="20"/>
              </w:rPr>
              <w:t>D</w:t>
            </w:r>
            <w:r w:rsidR="00BC3AB9" w:rsidRPr="00A95696">
              <w:rPr>
                <w:rFonts w:ascii="Aptos" w:hAnsi="Aptos" w:cs="Calibri"/>
                <w:sz w:val="20"/>
                <w:szCs w:val="20"/>
              </w:rPr>
              <w:t>es changements à grande échelle dans l’utilisation des terres ou l’accès à la terre et/ou aux ressources naturelles ;</w:t>
            </w:r>
          </w:p>
          <w:p w14:paraId="51E08BB2" w14:textId="77777777" w:rsidR="00A95696" w:rsidRDefault="00BC3AB9" w:rsidP="008B048C">
            <w:pPr>
              <w:pStyle w:val="ListParagraph"/>
              <w:numPr>
                <w:ilvl w:val="0"/>
                <w:numId w:val="32"/>
              </w:numPr>
              <w:autoSpaceDE w:val="0"/>
              <w:autoSpaceDN w:val="0"/>
              <w:adjustRightInd w:val="0"/>
              <w:spacing w:line="216" w:lineRule="auto"/>
              <w:jc w:val="both"/>
              <w:rPr>
                <w:rFonts w:ascii="Aptos" w:hAnsi="Aptos" w:cs="Calibri"/>
                <w:sz w:val="20"/>
                <w:szCs w:val="20"/>
              </w:rPr>
            </w:pPr>
            <w:r w:rsidRPr="00A95696">
              <w:rPr>
                <w:rFonts w:ascii="Aptos" w:hAnsi="Aptos" w:cs="Calibri"/>
                <w:sz w:val="20"/>
                <w:szCs w:val="20"/>
              </w:rPr>
              <w:t>Des impacts environnementaux et sociaux négatifs couvrant de vastes zones géographiques, y compris des impacts transfrontaliers, ou des impacts à l’échelle mondiale tels que les émissions de gaz à effet de serre ;</w:t>
            </w:r>
          </w:p>
          <w:p w14:paraId="4CE66080" w14:textId="69A09E29" w:rsidR="006E57C8" w:rsidRPr="00A95696" w:rsidRDefault="00BC3AB9" w:rsidP="008B048C">
            <w:pPr>
              <w:pStyle w:val="ListParagraph"/>
              <w:numPr>
                <w:ilvl w:val="0"/>
                <w:numId w:val="32"/>
              </w:numPr>
              <w:autoSpaceDE w:val="0"/>
              <w:autoSpaceDN w:val="0"/>
              <w:adjustRightInd w:val="0"/>
              <w:spacing w:line="216" w:lineRule="auto"/>
              <w:jc w:val="both"/>
              <w:rPr>
                <w:rFonts w:ascii="Aptos" w:hAnsi="Aptos" w:cs="Calibri"/>
                <w:sz w:val="20"/>
                <w:szCs w:val="20"/>
              </w:rPr>
            </w:pPr>
            <w:r w:rsidRPr="00A95696">
              <w:rPr>
                <w:rFonts w:ascii="Aptos" w:hAnsi="Aptos" w:cs="Calibri"/>
                <w:sz w:val="20"/>
                <w:szCs w:val="20"/>
              </w:rPr>
              <w:t>Des impacts cumulatifs, induits ou indirects significatifs ;</w:t>
            </w:r>
          </w:p>
          <w:p w14:paraId="096FAA4D" w14:textId="77777777" w:rsidR="006E57C8" w:rsidRPr="00A95696" w:rsidRDefault="00BC3AB9" w:rsidP="008B048C">
            <w:pPr>
              <w:pStyle w:val="ListParagraph"/>
              <w:numPr>
                <w:ilvl w:val="0"/>
                <w:numId w:val="32"/>
              </w:numPr>
              <w:autoSpaceDE w:val="0"/>
              <w:autoSpaceDN w:val="0"/>
              <w:adjustRightInd w:val="0"/>
              <w:spacing w:line="216" w:lineRule="auto"/>
              <w:jc w:val="both"/>
              <w:rPr>
                <w:rFonts w:ascii="Aptos" w:hAnsi="Aptos" w:cs="Calibri"/>
                <w:sz w:val="20"/>
                <w:szCs w:val="20"/>
              </w:rPr>
            </w:pPr>
            <w:r w:rsidRPr="00A95696">
              <w:rPr>
                <w:rFonts w:ascii="Aptos" w:hAnsi="Aptos" w:cs="Calibri"/>
                <w:sz w:val="20"/>
                <w:szCs w:val="20"/>
              </w:rPr>
              <w:t>Des activités impliquant le recours au travail forcé ou au travail des enfants ;</w:t>
            </w:r>
          </w:p>
          <w:p w14:paraId="04DDE54A" w14:textId="135E3F42" w:rsidR="00BC3AB9" w:rsidRPr="00D401FA" w:rsidRDefault="00BC3AB9" w:rsidP="008B048C">
            <w:pPr>
              <w:pStyle w:val="ListParagraph"/>
              <w:numPr>
                <w:ilvl w:val="0"/>
                <w:numId w:val="32"/>
              </w:numPr>
              <w:autoSpaceDE w:val="0"/>
              <w:autoSpaceDN w:val="0"/>
              <w:adjustRightInd w:val="0"/>
              <w:spacing w:line="216" w:lineRule="auto"/>
              <w:jc w:val="both"/>
              <w:rPr>
                <w:rFonts w:ascii="Aptos" w:hAnsi="Aptos" w:cs="Calibri"/>
              </w:rPr>
            </w:pPr>
            <w:r w:rsidRPr="00A95696">
              <w:rPr>
                <w:rFonts w:ascii="Aptos" w:hAnsi="Aptos" w:cs="Calibri"/>
                <w:sz w:val="20"/>
                <w:szCs w:val="20"/>
              </w:rPr>
              <w:t>La marginalisation, la discrimination ou des conflits au sein des groupes sociaux ou entre eux (y compris les groupes ethniques et raciaux).</w:t>
            </w:r>
          </w:p>
        </w:tc>
      </w:tr>
    </w:tbl>
    <w:p w14:paraId="396A0048" w14:textId="1FA34FB8" w:rsidR="00B8553C" w:rsidRDefault="00B8553C" w:rsidP="00216CAF">
      <w:pPr>
        <w:autoSpaceDE w:val="0"/>
        <w:autoSpaceDN w:val="0"/>
        <w:adjustRightInd w:val="0"/>
        <w:spacing w:line="240" w:lineRule="auto"/>
        <w:jc w:val="both"/>
        <w:rPr>
          <w:rFonts w:ascii="Aptos" w:hAnsi="Aptos" w:cs="Calibri"/>
        </w:rPr>
      </w:pPr>
    </w:p>
    <w:p w14:paraId="57360EE6" w14:textId="77777777" w:rsidR="00B8553C" w:rsidRDefault="00B8553C">
      <w:pPr>
        <w:rPr>
          <w:rFonts w:ascii="Aptos" w:hAnsi="Aptos" w:cs="Calibri"/>
        </w:rPr>
      </w:pPr>
      <w:r>
        <w:rPr>
          <w:rFonts w:ascii="Aptos" w:hAnsi="Aptos" w:cs="Calibri"/>
        </w:rPr>
        <w:br w:type="page"/>
      </w:r>
    </w:p>
    <w:p w14:paraId="09ABD1FB" w14:textId="77777777" w:rsidR="00236F34" w:rsidRPr="00D401FA" w:rsidRDefault="00236F34" w:rsidP="00216CAF">
      <w:pPr>
        <w:autoSpaceDE w:val="0"/>
        <w:autoSpaceDN w:val="0"/>
        <w:adjustRightInd w:val="0"/>
        <w:spacing w:line="240" w:lineRule="auto"/>
        <w:jc w:val="both"/>
        <w:rPr>
          <w:rFonts w:ascii="Aptos" w:hAnsi="Aptos" w:cs="Calibri"/>
        </w:rPr>
      </w:pPr>
    </w:p>
    <w:p w14:paraId="3DE65C77" w14:textId="50AC4FC5" w:rsidR="00644241" w:rsidRPr="00D401FA" w:rsidRDefault="00644241" w:rsidP="006E57C8">
      <w:pPr>
        <w:pStyle w:val="Heading1"/>
      </w:pPr>
      <w:bookmarkStart w:id="44" w:name="_Toc227686275"/>
      <w:bookmarkStart w:id="45" w:name="_Toc227686310"/>
      <w:bookmarkStart w:id="46" w:name="_Toc227686356"/>
      <w:r w:rsidRPr="00D401FA">
        <w:t>Dispositifs institutionnels</w:t>
      </w:r>
      <w:bookmarkEnd w:id="44"/>
      <w:bookmarkEnd w:id="45"/>
      <w:bookmarkEnd w:id="46"/>
    </w:p>
    <w:p w14:paraId="497614C6" w14:textId="037C2266" w:rsidR="00644241" w:rsidRPr="00D401FA" w:rsidRDefault="00644241" w:rsidP="006E57C8">
      <w:pPr>
        <w:pStyle w:val="Heading2"/>
      </w:pPr>
      <w:bookmarkStart w:id="47" w:name="_Toc227686276"/>
      <w:bookmarkStart w:id="48" w:name="_Toc227686311"/>
      <w:bookmarkStart w:id="49" w:name="_Toc227686357"/>
      <w:r w:rsidRPr="00D401FA">
        <w:t>Dispositifs institutionnels et de mise en œuvre</w:t>
      </w:r>
      <w:bookmarkEnd w:id="47"/>
      <w:bookmarkEnd w:id="48"/>
      <w:bookmarkEnd w:id="49"/>
    </w:p>
    <w:p w14:paraId="5207DE13" w14:textId="3C511430" w:rsidR="00644241" w:rsidRPr="00D401FA" w:rsidRDefault="00644241" w:rsidP="00216CAF">
      <w:pPr>
        <w:autoSpaceDE w:val="0"/>
        <w:autoSpaceDN w:val="0"/>
        <w:adjustRightInd w:val="0"/>
        <w:spacing w:line="240" w:lineRule="auto"/>
        <w:jc w:val="both"/>
        <w:rPr>
          <w:rFonts w:ascii="Aptos" w:hAnsi="Aptos" w:cs="Calibri"/>
        </w:rPr>
      </w:pPr>
      <w:r w:rsidRPr="006E57C8">
        <w:rPr>
          <w:rFonts w:ascii="Aptos" w:hAnsi="Aptos" w:cs="Calibri"/>
          <w:b/>
          <w:bCs/>
        </w:rPr>
        <w:t>Le Programme sera mis en œuvre à travers un dispositif institutionnel structuré, piloté par le Gouvernement, conçu pour garantir une supervision stratégique, une coordination efficace, une redevabilité accrue et la cohérence avec les priorités et systèmes nationaux</w:t>
      </w:r>
      <w:r w:rsidRPr="00D401FA">
        <w:rPr>
          <w:rFonts w:ascii="Aptos" w:hAnsi="Aptos" w:cs="Calibri"/>
        </w:rPr>
        <w:t>. La supervision stratégique sera assurée par un Comité ministériel composé de hauts responsables du Ministère de l’Économie et des Finances (MEF), du Ministère de l’Éducation et de la Réforme du système éducatif (MERSE) et du Ministère de l’Action sociale, de l’Enfance et de la Famille (MASEF). Cet organe de haut niveau assurera l’orientation stratégique globale, facilitera la coordination interministérielle et veillera à la cohérence avec les priorités nationales</w:t>
      </w:r>
      <w:r w:rsidR="00A95696">
        <w:rPr>
          <w:rFonts w:ascii="Aptos" w:hAnsi="Aptos" w:cs="Calibri"/>
        </w:rPr>
        <w:t xml:space="preserve"> plus larges</w:t>
      </w:r>
      <w:r w:rsidRPr="00D401FA">
        <w:rPr>
          <w:rFonts w:ascii="Aptos" w:hAnsi="Aptos" w:cs="Calibri"/>
        </w:rPr>
        <w:t xml:space="preserve">. Sous l’autorité de ce Comité ministériel, un Comité technique de pilotage, composé des principales directions des ministères sectoriels bénéficiaires (MERSE, MASEF), assurera l’orientation opérationnelle et le suivi de la mise en œuvre. Ce Comité technique sera chargé de définir les orientations techniques, de valider les priorités ainsi que les plans de travail annuels budgétisés, et de superviser la mise en œuvre globale du Programme. Une Unité de coordination du Programme (UCP) dédiée, faisant également office d’unité de gestion de la composante IPF, sera responsable de la coordination courante du Programme, y compris du suivi technique, fiduciaire ainsi que de la gestion des aspects environnementaux et sociaux, et du suivi de la performance. Au niveau de la mise en œuvre, les directions sectorielles bénéficiaires chargées de la prestation des services, de la gestion des ressources humaines et du </w:t>
      </w:r>
      <w:proofErr w:type="spellStart"/>
      <w:r w:rsidRPr="00D401FA">
        <w:rPr>
          <w:rFonts w:ascii="Aptos" w:hAnsi="Aptos" w:cs="Calibri"/>
        </w:rPr>
        <w:t>reporting</w:t>
      </w:r>
      <w:proofErr w:type="spellEnd"/>
      <w:r w:rsidRPr="00D401FA">
        <w:rPr>
          <w:rFonts w:ascii="Aptos" w:hAnsi="Aptos" w:cs="Calibri"/>
        </w:rPr>
        <w:t xml:space="preserve"> contribueront à l’exécution du Programme conformément à leurs mandats respectifs et aux procédures gouvernementales en vigueur. Cette architecture à plusieurs niveaux garantit une pleine intégration du Programme dans les structures nationales, favorise l’appropriation institutionnelle et soutient la pérennité et la mise à l’échelle des résultats. Le renforcement des capacités de ces institutions à travers la composante IPF sera essentiel pour assurer la réussite du Programme.</w:t>
      </w:r>
    </w:p>
    <w:p w14:paraId="12DF5932" w14:textId="77777777" w:rsidR="00644241" w:rsidRDefault="00644241" w:rsidP="006E57C8">
      <w:pPr>
        <w:autoSpaceDE w:val="0"/>
        <w:autoSpaceDN w:val="0"/>
        <w:adjustRightInd w:val="0"/>
        <w:spacing w:line="240" w:lineRule="auto"/>
        <w:jc w:val="center"/>
        <w:rPr>
          <w:rFonts w:ascii="Aptos" w:hAnsi="Aptos" w:cs="Calibri"/>
          <w:b/>
          <w:bCs/>
        </w:rPr>
      </w:pPr>
      <w:r w:rsidRPr="006E57C8">
        <w:rPr>
          <w:rFonts w:ascii="Aptos" w:hAnsi="Aptos" w:cs="Calibri"/>
          <w:b/>
          <w:bCs/>
        </w:rPr>
        <w:t>Figure 2 : Dispositif institutionnel du Programme</w:t>
      </w:r>
    </w:p>
    <w:p w14:paraId="53385BA4" w14:textId="128574B1" w:rsidR="00A95696" w:rsidRPr="006E57C8" w:rsidRDefault="008A6E8D" w:rsidP="006E57C8">
      <w:pPr>
        <w:autoSpaceDE w:val="0"/>
        <w:autoSpaceDN w:val="0"/>
        <w:adjustRightInd w:val="0"/>
        <w:spacing w:line="240" w:lineRule="auto"/>
        <w:jc w:val="center"/>
        <w:rPr>
          <w:rFonts w:ascii="Aptos" w:hAnsi="Aptos" w:cs="Calibri"/>
          <w:b/>
          <w:bCs/>
        </w:rPr>
      </w:pPr>
      <w:r w:rsidRPr="00F05C95">
        <w:rPr>
          <w:rFonts w:ascii="Calibri" w:eastAsia="Calibri" w:hAnsi="Calibri" w:cs="Calibri"/>
          <w:b/>
          <w:bCs/>
          <w:noProof/>
        </w:rPr>
        <w:drawing>
          <wp:inline distT="0" distB="0" distL="0" distR="0" wp14:anchorId="24DA6D37" wp14:editId="6A9C9252">
            <wp:extent cx="4360554" cy="3324225"/>
            <wp:effectExtent l="0" t="0" r="1905" b="0"/>
            <wp:docPr id="8032514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51411" name=""/>
                    <pic:cNvPicPr/>
                  </pic:nvPicPr>
                  <pic:blipFill>
                    <a:blip r:embed="rId11"/>
                    <a:stretch>
                      <a:fillRect/>
                    </a:stretch>
                  </pic:blipFill>
                  <pic:spPr>
                    <a:xfrm>
                      <a:off x="0" y="0"/>
                      <a:ext cx="4369797" cy="3331271"/>
                    </a:xfrm>
                    <a:prstGeom prst="rect">
                      <a:avLst/>
                    </a:prstGeom>
                  </pic:spPr>
                </pic:pic>
              </a:graphicData>
            </a:graphic>
          </wp:inline>
        </w:drawing>
      </w:r>
    </w:p>
    <w:p w14:paraId="0D1DFB67" w14:textId="5687A798" w:rsidR="00644241" w:rsidRPr="00D401FA" w:rsidRDefault="00644241" w:rsidP="006E57C8">
      <w:pPr>
        <w:pStyle w:val="Heading2"/>
      </w:pPr>
      <w:bookmarkStart w:id="50" w:name="_Toc227686277"/>
      <w:bookmarkStart w:id="51" w:name="_Toc227686312"/>
      <w:bookmarkStart w:id="52" w:name="_Toc227686358"/>
      <w:r w:rsidRPr="00D401FA">
        <w:lastRenderedPageBreak/>
        <w:t>Dispositifs de suivi, évaluation et vérification des résultats</w:t>
      </w:r>
      <w:bookmarkEnd w:id="50"/>
      <w:bookmarkEnd w:id="51"/>
      <w:bookmarkEnd w:id="52"/>
    </w:p>
    <w:p w14:paraId="52424887" w14:textId="18D76CA8" w:rsidR="00644241" w:rsidRPr="00D401FA" w:rsidRDefault="00644241" w:rsidP="00216CAF">
      <w:pPr>
        <w:autoSpaceDE w:val="0"/>
        <w:autoSpaceDN w:val="0"/>
        <w:adjustRightInd w:val="0"/>
        <w:spacing w:line="240" w:lineRule="auto"/>
        <w:jc w:val="both"/>
        <w:rPr>
          <w:rFonts w:ascii="Aptos" w:hAnsi="Aptos" w:cs="Calibri"/>
        </w:rPr>
      </w:pPr>
      <w:r w:rsidRPr="00D401FA">
        <w:rPr>
          <w:rFonts w:ascii="Aptos" w:hAnsi="Aptos" w:cs="Calibri"/>
        </w:rPr>
        <w:t>Le Programme mettra en place un mécanisme complet de suivi et d’évaluation (S&amp;E). L’Unité de coordination du Programme (UCP) sera chargée de collecter et d’analyser les données sur l’avancement de la mise en œuvre dans l’ensemble des domaines de résultats et des activités du Programme. Les entités d’exécution constitueront la principale source de données et d’informations pour l’UCP. Les rapports d’avancement du Programme seront conformes à son cadre de résultats, rendant compte des résultats ainsi que des effets à court et moyen termes tels que définis dans ce cadre. Le système de S&amp;E utilisera le SIRAGE pour assurer une utilisation efficiente des ressources techniques, humaines et financières, suivre l’avancement des activités</w:t>
      </w:r>
      <w:r w:rsidR="00A844F5">
        <w:rPr>
          <w:rFonts w:ascii="Aptos" w:hAnsi="Aptos" w:cs="Calibri"/>
        </w:rPr>
        <w:t xml:space="preserve"> et</w:t>
      </w:r>
      <w:r w:rsidRPr="00D401FA">
        <w:rPr>
          <w:rFonts w:ascii="Aptos" w:hAnsi="Aptos" w:cs="Calibri"/>
        </w:rPr>
        <w:t xml:space="preserve"> la réalisation des ILD, et conduire des évaluations d’impact. Une revue à mi-parcours permettra d’évaluer l’état d’avancement de la mise en œuvre et l’atteinte des résultats du Programme, tout en garantissant une gestion transparente et efficace.</w:t>
      </w:r>
    </w:p>
    <w:p w14:paraId="53E54007" w14:textId="77777777" w:rsidR="00644241" w:rsidRPr="00D401FA" w:rsidRDefault="00644241" w:rsidP="00216CAF">
      <w:pPr>
        <w:autoSpaceDE w:val="0"/>
        <w:autoSpaceDN w:val="0"/>
        <w:adjustRightInd w:val="0"/>
        <w:spacing w:line="240" w:lineRule="auto"/>
        <w:jc w:val="both"/>
        <w:rPr>
          <w:rFonts w:ascii="Aptos" w:hAnsi="Aptos" w:cs="Calibri"/>
        </w:rPr>
      </w:pPr>
      <w:r w:rsidRPr="00D401FA">
        <w:rPr>
          <w:rFonts w:ascii="Aptos" w:hAnsi="Aptos" w:cs="Calibri"/>
        </w:rPr>
        <w:t>Afin de garantir l’impartialité, la réalisation des ILD sera vérifiée par un Agent de vérification indépendant (AVI), une firme engagée sous contrat par l’UCP selon des termes jugés satisfaisants par la Banque mondiale. La majorité des données relatives aux ILD sera issue du SIRAGE. L’UCP consolidera les informations nécessaires pour attester de la conformité à chaque ILD et les soumettra à l’AVI. La réalisation des ILD sera validée sur la base de la vérification des processus et des méthodologies convenus, tels que définis dans les protocoles de vérification. L’UCP soumettra les demandes de décaissement suite à la réalisation des ILD, accompagnées des rapports de vérification des résultats établis par l’AVI. Des rapports d’avancement seront transmis à la Banque mondiale selon les exigences, celle-ci apportant un appui analytique et technique à l’UCP.</w:t>
      </w:r>
    </w:p>
    <w:p w14:paraId="1CD63658" w14:textId="760483F6" w:rsidR="00644241" w:rsidRPr="00D401FA" w:rsidRDefault="00644241" w:rsidP="00216CAF">
      <w:pPr>
        <w:autoSpaceDE w:val="0"/>
        <w:autoSpaceDN w:val="0"/>
        <w:adjustRightInd w:val="0"/>
        <w:spacing w:line="240" w:lineRule="auto"/>
        <w:jc w:val="both"/>
        <w:rPr>
          <w:rFonts w:ascii="Aptos" w:hAnsi="Aptos" w:cs="Calibri"/>
        </w:rPr>
      </w:pPr>
      <w:r w:rsidRPr="00D401FA">
        <w:rPr>
          <w:rFonts w:ascii="Aptos" w:hAnsi="Aptos" w:cs="Calibri"/>
        </w:rPr>
        <w:t xml:space="preserve">L’UCP réalisera des revues détaillées de l’avancement du Programme. Tout au long de la mise en œuvre, en collaboration avec le Comité technique, </w:t>
      </w:r>
      <w:r w:rsidR="00590A1D">
        <w:rPr>
          <w:rFonts w:ascii="Aptos" w:hAnsi="Aptos" w:cs="Calibri"/>
        </w:rPr>
        <w:t xml:space="preserve">elle </w:t>
      </w:r>
      <w:r w:rsidRPr="00D401FA">
        <w:rPr>
          <w:rFonts w:ascii="Aptos" w:hAnsi="Aptos" w:cs="Calibri"/>
        </w:rPr>
        <w:t>procédera à des analyses approfondies des progrès et mettra en œuvre des mesures correctives afin de lever les contraintes susceptibles d’entraver la réalisation des résultats visés. L’UCP veillera également à informer régulièrement le Comité de pilotage du Programme de l’état d’avancement. L’équipe de la Banque mondiale en charge du Programme (</w:t>
      </w:r>
      <w:proofErr w:type="spellStart"/>
      <w:r w:rsidRPr="00A844F5">
        <w:rPr>
          <w:rFonts w:ascii="Aptos" w:hAnsi="Aptos" w:cs="Calibri"/>
          <w:i/>
          <w:iCs/>
        </w:rPr>
        <w:t>Task</w:t>
      </w:r>
      <w:proofErr w:type="spellEnd"/>
      <w:r w:rsidRPr="00A844F5">
        <w:rPr>
          <w:rFonts w:ascii="Aptos" w:hAnsi="Aptos" w:cs="Calibri"/>
          <w:i/>
          <w:iCs/>
        </w:rPr>
        <w:t xml:space="preserve"> Team</w:t>
      </w:r>
      <w:r w:rsidRPr="00D401FA">
        <w:rPr>
          <w:rFonts w:ascii="Aptos" w:hAnsi="Aptos" w:cs="Calibri"/>
        </w:rPr>
        <w:t>) maintiendra une communication régulière avec l’UCP et mènera des missions d’appui à la mise en œuvre, identifiant les défis et recommandant des mesures correctives.</w:t>
      </w:r>
    </w:p>
    <w:p w14:paraId="136AD108" w14:textId="3C2D282B" w:rsidR="00AE0471" w:rsidRPr="00182622" w:rsidRDefault="00AE0471" w:rsidP="00182622">
      <w:pPr>
        <w:pStyle w:val="Heading2"/>
      </w:pPr>
      <w:bookmarkStart w:id="53" w:name="_Toc227686278"/>
      <w:bookmarkStart w:id="54" w:name="_Toc227686313"/>
      <w:bookmarkStart w:id="55" w:name="_Toc227686359"/>
      <w:r w:rsidRPr="00182622">
        <w:t>Dispositifs de décaissement</w:t>
      </w:r>
      <w:bookmarkEnd w:id="53"/>
      <w:bookmarkEnd w:id="54"/>
      <w:bookmarkEnd w:id="55"/>
    </w:p>
    <w:p w14:paraId="03E1D2CA" w14:textId="6117E655" w:rsidR="00AE0471" w:rsidRPr="00D401FA" w:rsidRDefault="00AE0471" w:rsidP="00216CAF">
      <w:pPr>
        <w:autoSpaceDE w:val="0"/>
        <w:autoSpaceDN w:val="0"/>
        <w:adjustRightInd w:val="0"/>
        <w:spacing w:line="240" w:lineRule="auto"/>
        <w:jc w:val="both"/>
        <w:rPr>
          <w:rFonts w:ascii="Aptos" w:hAnsi="Aptos" w:cs="Calibri"/>
        </w:rPr>
      </w:pPr>
      <w:r w:rsidRPr="00D401FA">
        <w:rPr>
          <w:rFonts w:ascii="Aptos" w:hAnsi="Aptos" w:cs="Calibri"/>
        </w:rPr>
        <w:t xml:space="preserve">Les décaissements seront effectués sur la base de la réalisation des cibles des ILD, telles que certifiées conformément au protocole de vérification. La Banque mondiale procédera à des décaissements à concurrence d’un total de </w:t>
      </w:r>
      <w:r w:rsidR="00C37682">
        <w:rPr>
          <w:rFonts w:ascii="Aptos" w:hAnsi="Aptos" w:cs="Calibri"/>
        </w:rPr>
        <w:t>51,75</w:t>
      </w:r>
      <w:r w:rsidRPr="00D401FA">
        <w:rPr>
          <w:rFonts w:ascii="Aptos" w:hAnsi="Aptos" w:cs="Calibri"/>
        </w:rPr>
        <w:t xml:space="preserve"> millions USD au titre des </w:t>
      </w:r>
      <w:r w:rsidR="00C37682">
        <w:rPr>
          <w:rFonts w:ascii="Aptos" w:hAnsi="Aptos" w:cs="Calibri"/>
        </w:rPr>
        <w:t>dix</w:t>
      </w:r>
      <w:r w:rsidR="00C37682" w:rsidRPr="00D401FA">
        <w:rPr>
          <w:rFonts w:ascii="Aptos" w:hAnsi="Aptos" w:cs="Calibri"/>
        </w:rPr>
        <w:t xml:space="preserve"> </w:t>
      </w:r>
      <w:r w:rsidRPr="00D401FA">
        <w:rPr>
          <w:rFonts w:ascii="Aptos" w:hAnsi="Aptos" w:cs="Calibri"/>
        </w:rPr>
        <w:t>ILD du Programme. Les paiements seront effectués au fur et à mesure de la réalisation des cibles. Lorsqu’une cible d’ILD est atteinte, le Gouvernement fera vérifier cette réalisation conformément au protocole et communiquera les résultats, accompagnés du rapport de l’AVI le cas échéant, à la Banque mondiale. La Banque mondiale, lorsqu’elle estime que la cible de l’ILD est réalisée, émettra une lettre d’autorisation de retrait au Gouvernement. La demande de décaissement sera soumise par l’UCP directement à la Banque mondiale via la plateforme e-Business de la Banque mondiale. Les fonds du Programme seront décaissés par la Banque mondiale directement sur un compte opérationnel ouvert par la DGTCP auprès de la Banque centrale de Mauritanie, ce compte faisant partie du Compte unique du Trésor.</w:t>
      </w:r>
    </w:p>
    <w:p w14:paraId="2AE24E6A" w14:textId="77777777" w:rsidR="00FE2E06" w:rsidRPr="00D401FA" w:rsidRDefault="00AE0471" w:rsidP="00216CAF">
      <w:pPr>
        <w:autoSpaceDE w:val="0"/>
        <w:autoSpaceDN w:val="0"/>
        <w:adjustRightInd w:val="0"/>
        <w:spacing w:line="240" w:lineRule="auto"/>
        <w:jc w:val="both"/>
        <w:rPr>
          <w:rFonts w:ascii="Aptos" w:hAnsi="Aptos" w:cs="Calibri"/>
        </w:rPr>
      </w:pPr>
      <w:r w:rsidRPr="00D401FA">
        <w:rPr>
          <w:rFonts w:ascii="Aptos" w:hAnsi="Aptos" w:cs="Calibri"/>
        </w:rPr>
        <w:t xml:space="preserve">Les décaissements en faveur des entités d’exécution seront effectués par le biais de mises à disposition du Trésor et se conformeront aux procédures existantes de gestion de la trésorerie du MEF relatives aux demandes de fonds. L’UCP devra démontrer, à travers des états financiers annuels, que les dépenses du Programme sont égales ou supérieures au montant du </w:t>
      </w:r>
      <w:r w:rsidRPr="00D401FA">
        <w:rPr>
          <w:rFonts w:ascii="Aptos" w:hAnsi="Aptos" w:cs="Calibri"/>
        </w:rPr>
        <w:lastRenderedPageBreak/>
        <w:t xml:space="preserve">financement de la Banque mondiale à la clôture du Programme. Le Cadre de dépenses du Programme (CDP) fera l’objet d’un suivi afin de garantir que le financement du programme gouvernemental demeure suffisant. Le Programme utilisera les mêmes modalités de flux de fonds que celles appliquées pour l’exécution du budget national. Les fonds de la composante IPF pour une AT </w:t>
      </w:r>
      <w:r w:rsidR="00FE2E06">
        <w:rPr>
          <w:rFonts w:ascii="Aptos" w:hAnsi="Aptos" w:cs="Calibri"/>
        </w:rPr>
        <w:t xml:space="preserve">passeront par </w:t>
      </w:r>
      <w:r w:rsidRPr="00D401FA">
        <w:rPr>
          <w:rFonts w:ascii="Aptos" w:hAnsi="Aptos" w:cs="Calibri"/>
        </w:rPr>
        <w:t xml:space="preserve">un Compte désigné administré par l’UCP. Le Gouvernement pourra </w:t>
      </w:r>
    </w:p>
    <w:tbl>
      <w:tblPr>
        <w:tblStyle w:val="TableGrid"/>
        <w:tblpPr w:leftFromText="180" w:rightFromText="180" w:vertAnchor="page" w:horzAnchor="margin" w:tblpY="8608"/>
        <w:tblW w:w="0" w:type="auto"/>
        <w:tblLook w:val="04A0" w:firstRow="1" w:lastRow="0" w:firstColumn="1" w:lastColumn="0" w:noHBand="0" w:noVBand="1"/>
      </w:tblPr>
      <w:tblGrid>
        <w:gridCol w:w="3049"/>
        <w:gridCol w:w="6013"/>
      </w:tblGrid>
      <w:tr w:rsidR="00FE2E06" w:rsidRPr="00D401FA" w14:paraId="7761F7B4" w14:textId="77777777" w:rsidTr="00FE2E06">
        <w:tc>
          <w:tcPr>
            <w:tcW w:w="3049" w:type="dxa"/>
            <w:vAlign w:val="center"/>
          </w:tcPr>
          <w:p w14:paraId="46E7151E" w14:textId="77777777" w:rsidR="00FE2E06" w:rsidRPr="00FE2E06" w:rsidRDefault="00FE2E06" w:rsidP="00FE2E06">
            <w:pPr>
              <w:rPr>
                <w:rFonts w:ascii="Aptos" w:eastAsia="Calibri" w:hAnsi="Aptos" w:cs="Calibri"/>
                <w:b/>
                <w:sz w:val="20"/>
                <w:szCs w:val="20"/>
              </w:rPr>
            </w:pPr>
            <w:r w:rsidRPr="00FE2E06">
              <w:rPr>
                <w:rFonts w:ascii="Aptos" w:hAnsi="Aptos" w:cs="Calibri"/>
                <w:b/>
                <w:bCs/>
                <w:sz w:val="20"/>
                <w:szCs w:val="20"/>
              </w:rPr>
              <w:t>Institution</w:t>
            </w:r>
          </w:p>
        </w:tc>
        <w:tc>
          <w:tcPr>
            <w:tcW w:w="6013" w:type="dxa"/>
            <w:vAlign w:val="center"/>
          </w:tcPr>
          <w:p w14:paraId="2A220D38" w14:textId="760BF642" w:rsidR="00FE2E06" w:rsidRPr="00FE2E06" w:rsidRDefault="00FE2E06" w:rsidP="00FE2E06">
            <w:pPr>
              <w:rPr>
                <w:rFonts w:ascii="Aptos" w:eastAsia="Calibri" w:hAnsi="Aptos" w:cs="Calibri"/>
                <w:b/>
                <w:sz w:val="20"/>
                <w:szCs w:val="20"/>
              </w:rPr>
            </w:pPr>
            <w:r w:rsidRPr="00FE2E06">
              <w:rPr>
                <w:rFonts w:ascii="Aptos" w:hAnsi="Aptos" w:cs="Calibri"/>
                <w:b/>
                <w:bCs/>
                <w:sz w:val="20"/>
                <w:szCs w:val="20"/>
              </w:rPr>
              <w:t>Rôle / fonction principale (* y compris rôle E</w:t>
            </w:r>
            <w:r>
              <w:rPr>
                <w:rFonts w:ascii="Aptos" w:hAnsi="Aptos" w:cs="Calibri"/>
                <w:b/>
                <w:bCs/>
                <w:sz w:val="20"/>
                <w:szCs w:val="20"/>
              </w:rPr>
              <w:t>SES</w:t>
            </w:r>
            <w:r w:rsidRPr="00FE2E06">
              <w:rPr>
                <w:rFonts w:ascii="Aptos" w:hAnsi="Aptos" w:cs="Calibri"/>
                <w:b/>
                <w:bCs/>
                <w:sz w:val="20"/>
                <w:szCs w:val="20"/>
              </w:rPr>
              <w:t xml:space="preserve"> uniquement)</w:t>
            </w:r>
          </w:p>
        </w:tc>
      </w:tr>
      <w:tr w:rsidR="00FE2E06" w:rsidRPr="00D401FA" w14:paraId="3B09D8CF" w14:textId="77777777" w:rsidTr="00FE2E06">
        <w:tc>
          <w:tcPr>
            <w:tcW w:w="3049" w:type="dxa"/>
            <w:vAlign w:val="center"/>
          </w:tcPr>
          <w:p w14:paraId="0468B6D8"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Ministère de l’Économie et des Finances</w:t>
            </w:r>
          </w:p>
        </w:tc>
        <w:tc>
          <w:tcPr>
            <w:tcW w:w="6013" w:type="dxa"/>
            <w:vAlign w:val="center"/>
          </w:tcPr>
          <w:p w14:paraId="403B3916"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Bénéficiaire du don : il jouera un rôle clé, notamment dans l’élaboration, la mise en œuvre et le suivi des différents projets de lois et de décrets nécessaires à l’opérationnalisation du Programme</w:t>
            </w:r>
          </w:p>
        </w:tc>
      </w:tr>
      <w:tr w:rsidR="00FE2E06" w:rsidRPr="00D401FA" w14:paraId="30D77449" w14:textId="77777777" w:rsidTr="00FE2E06">
        <w:tc>
          <w:tcPr>
            <w:tcW w:w="3049" w:type="dxa"/>
            <w:vAlign w:val="center"/>
          </w:tcPr>
          <w:p w14:paraId="03CF528C"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Ministère de l’Éducation et de la Réforme du système éducatif (MERSE)</w:t>
            </w:r>
          </w:p>
        </w:tc>
        <w:tc>
          <w:tcPr>
            <w:tcW w:w="6013" w:type="dxa"/>
            <w:vAlign w:val="center"/>
          </w:tcPr>
          <w:p w14:paraId="439E7410"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 xml:space="preserve">Bénéficiaire du don : responsable de la prestation des services, de la gestion des ressources humaines et du </w:t>
            </w:r>
            <w:proofErr w:type="spellStart"/>
            <w:r w:rsidRPr="00FE2E06">
              <w:rPr>
                <w:rFonts w:ascii="Aptos" w:hAnsi="Aptos" w:cs="Calibri"/>
                <w:sz w:val="20"/>
                <w:szCs w:val="20"/>
              </w:rPr>
              <w:t>reporting</w:t>
            </w:r>
            <w:proofErr w:type="spellEnd"/>
            <w:r w:rsidRPr="00FE2E06">
              <w:rPr>
                <w:rFonts w:ascii="Aptos" w:hAnsi="Aptos" w:cs="Calibri"/>
                <w:sz w:val="20"/>
                <w:szCs w:val="20"/>
              </w:rPr>
              <w:t xml:space="preserve"> ; contribuera à la mise en œuvre du Programme conformément à son mandat et aux procédures gouvernementales en vigueur</w:t>
            </w:r>
          </w:p>
        </w:tc>
      </w:tr>
      <w:tr w:rsidR="00FE2E06" w:rsidRPr="00D401FA" w14:paraId="630F32E0" w14:textId="77777777" w:rsidTr="00FE2E06">
        <w:tc>
          <w:tcPr>
            <w:tcW w:w="3049" w:type="dxa"/>
            <w:vAlign w:val="center"/>
          </w:tcPr>
          <w:p w14:paraId="5494F2A1"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Ministère de l’Action sociale, de l’Enfance et de la Famille (MASEF)</w:t>
            </w:r>
          </w:p>
        </w:tc>
        <w:tc>
          <w:tcPr>
            <w:tcW w:w="6013" w:type="dxa"/>
            <w:vAlign w:val="center"/>
          </w:tcPr>
          <w:p w14:paraId="712CE9B8"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 xml:space="preserve">Bénéficiaire du don : responsable de la prestation des services, de la gestion des ressources humaines et du </w:t>
            </w:r>
            <w:proofErr w:type="spellStart"/>
            <w:r w:rsidRPr="00FE2E06">
              <w:rPr>
                <w:rFonts w:ascii="Aptos" w:hAnsi="Aptos" w:cs="Calibri"/>
                <w:sz w:val="20"/>
                <w:szCs w:val="20"/>
              </w:rPr>
              <w:t>reporting</w:t>
            </w:r>
            <w:proofErr w:type="spellEnd"/>
            <w:r w:rsidRPr="00FE2E06">
              <w:rPr>
                <w:rFonts w:ascii="Aptos" w:hAnsi="Aptos" w:cs="Calibri"/>
                <w:sz w:val="20"/>
                <w:szCs w:val="20"/>
              </w:rPr>
              <w:t xml:space="preserve"> ; contribuera à la mise en œuvre du Programme conformément à son mandat et aux procédures gouvernementales en vigueur</w:t>
            </w:r>
          </w:p>
        </w:tc>
      </w:tr>
      <w:tr w:rsidR="00FE2E06" w:rsidRPr="00D401FA" w14:paraId="6421E9A0" w14:textId="77777777" w:rsidTr="00FE2E06">
        <w:tc>
          <w:tcPr>
            <w:tcW w:w="3049" w:type="dxa"/>
            <w:vAlign w:val="center"/>
          </w:tcPr>
          <w:p w14:paraId="591F9F1A"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Unité de coordination du Programme (UCP)</w:t>
            </w:r>
          </w:p>
        </w:tc>
        <w:tc>
          <w:tcPr>
            <w:tcW w:w="6013" w:type="dxa"/>
            <w:vAlign w:val="center"/>
          </w:tcPr>
          <w:p w14:paraId="2D279F95"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Coordination et mise en œuvre courantes du Programme ; responsable également des fonctions standard de gestion de projet (passation des marchés, gestion financière, gestion environnementale et sociale)</w:t>
            </w:r>
          </w:p>
        </w:tc>
      </w:tr>
      <w:tr w:rsidR="00FE2E06" w:rsidRPr="00D401FA" w14:paraId="4849FC93" w14:textId="77777777" w:rsidTr="00FE2E06">
        <w:tc>
          <w:tcPr>
            <w:tcW w:w="3049" w:type="dxa"/>
            <w:vAlign w:val="center"/>
          </w:tcPr>
          <w:p w14:paraId="040C7872"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Direction de l’Évaluation et du Contrôle Environnemental (DECE)*</w:t>
            </w:r>
          </w:p>
        </w:tc>
        <w:tc>
          <w:tcPr>
            <w:tcW w:w="6013" w:type="dxa"/>
            <w:vAlign w:val="center"/>
          </w:tcPr>
          <w:p w14:paraId="6D754E4E"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DECE du Ministère de l’Environnement et du Développement durable : rôle principal dans les systèmes de gestion environnementale ; chargée de la validation, de la mise en œuvre et du suivi des évaluations environnementales et sociales</w:t>
            </w:r>
          </w:p>
        </w:tc>
      </w:tr>
      <w:tr w:rsidR="00FE2E06" w:rsidRPr="00D401FA" w14:paraId="1660551D" w14:textId="77777777" w:rsidTr="00FE2E06">
        <w:tc>
          <w:tcPr>
            <w:tcW w:w="3049" w:type="dxa"/>
            <w:vAlign w:val="center"/>
          </w:tcPr>
          <w:p w14:paraId="596B5F27"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Délégations régionales de l’environnement*</w:t>
            </w:r>
          </w:p>
        </w:tc>
        <w:tc>
          <w:tcPr>
            <w:tcW w:w="6013" w:type="dxa"/>
            <w:vAlign w:val="center"/>
          </w:tcPr>
          <w:p w14:paraId="072E4D83" w14:textId="77777777" w:rsidR="00FE2E06" w:rsidRPr="00FE2E06" w:rsidRDefault="00FE2E06" w:rsidP="00FE2E06">
            <w:pPr>
              <w:rPr>
                <w:rFonts w:ascii="Aptos" w:eastAsia="Calibri" w:hAnsi="Aptos" w:cs="Calibri"/>
                <w:sz w:val="20"/>
                <w:szCs w:val="20"/>
              </w:rPr>
            </w:pPr>
            <w:r w:rsidRPr="00FE2E06">
              <w:rPr>
                <w:rFonts w:ascii="Aptos" w:hAnsi="Aptos" w:cs="Calibri"/>
                <w:sz w:val="20"/>
                <w:szCs w:val="20"/>
              </w:rPr>
              <w:t>Rôle clé dans la gestion des questions environnementales et sociales au niveau des wilayas</w:t>
            </w:r>
          </w:p>
        </w:tc>
      </w:tr>
    </w:tbl>
    <w:p w14:paraId="096034D0" w14:textId="1909DFFB" w:rsidR="00AE0471" w:rsidRPr="00D401FA" w:rsidRDefault="00AE0471" w:rsidP="00216CAF">
      <w:pPr>
        <w:autoSpaceDE w:val="0"/>
        <w:autoSpaceDN w:val="0"/>
        <w:adjustRightInd w:val="0"/>
        <w:spacing w:line="240" w:lineRule="auto"/>
        <w:jc w:val="both"/>
        <w:rPr>
          <w:rFonts w:ascii="Aptos" w:hAnsi="Aptos" w:cs="Calibri"/>
        </w:rPr>
      </w:pPr>
      <w:r w:rsidRPr="00D401FA">
        <w:rPr>
          <w:rFonts w:ascii="Aptos" w:hAnsi="Aptos" w:cs="Calibri"/>
        </w:rPr>
        <w:t>demander des avances à concurrence de 25 pour cent du financement alloué aux ILD non encore réalisés, en suivant les procédures applicables. De telles avances permettront de garantir la disponibilité des ressources nécessaires pour couvrir les besoins opérationnels intermédiaires du Programme, conduisant à la réalisation des ILD. Lorsque l’ILD au titre duquel une avance a été décaissée est réalisé, le montant de cette avance sera déduit du montant total à décaisser au titre de cet ILD. La Banque mondiale enregistrera le montant décaissé pour un ILD réalisé (récupéré) après avoir notifié au Bénéficiaire son acceptation des preuves de réalisation du résultat.</w:t>
      </w:r>
    </w:p>
    <w:p w14:paraId="2D56E91C" w14:textId="2C932B67" w:rsidR="00AE0471" w:rsidRPr="00D401FA" w:rsidRDefault="00AE0471" w:rsidP="006E57C8">
      <w:pPr>
        <w:pStyle w:val="Heading2"/>
      </w:pPr>
      <w:bookmarkStart w:id="56" w:name="_Toc227686279"/>
      <w:bookmarkStart w:id="57" w:name="_Toc227686314"/>
      <w:bookmarkStart w:id="58" w:name="_Toc227686360"/>
      <w:r w:rsidRPr="00D401FA">
        <w:t>Partenaires d’exécution du Programme et organisations responsables uniquement de l’évaluation du système E&amp;S</w:t>
      </w:r>
      <w:bookmarkEnd w:id="56"/>
      <w:bookmarkEnd w:id="57"/>
      <w:bookmarkEnd w:id="58"/>
    </w:p>
    <w:p w14:paraId="7A39ABD6" w14:textId="4DBD810D" w:rsidR="00AE0471" w:rsidRPr="00D401FA" w:rsidRDefault="00AE0471" w:rsidP="00216CAF">
      <w:pPr>
        <w:autoSpaceDE w:val="0"/>
        <w:autoSpaceDN w:val="0"/>
        <w:adjustRightInd w:val="0"/>
        <w:spacing w:line="240" w:lineRule="auto"/>
        <w:jc w:val="both"/>
        <w:rPr>
          <w:rFonts w:ascii="Aptos" w:hAnsi="Aptos" w:cs="Calibri"/>
        </w:rPr>
      </w:pPr>
      <w:r w:rsidRPr="00D401FA">
        <w:rPr>
          <w:rFonts w:ascii="Aptos" w:hAnsi="Aptos" w:cs="Calibri"/>
        </w:rPr>
        <w:t xml:space="preserve">La présente opération constitue le deuxième </w:t>
      </w:r>
      <w:proofErr w:type="spellStart"/>
      <w:r w:rsidRPr="00D401FA">
        <w:rPr>
          <w:rFonts w:ascii="Aptos" w:hAnsi="Aptos" w:cs="Calibri"/>
        </w:rPr>
        <w:t>PforR</w:t>
      </w:r>
      <w:proofErr w:type="spellEnd"/>
      <w:r w:rsidRPr="00D401FA">
        <w:rPr>
          <w:rFonts w:ascii="Aptos" w:hAnsi="Aptos" w:cs="Calibri"/>
        </w:rPr>
        <w:t xml:space="preserve"> en Mauritanie. Compte tenu des exigences d’apprentissage liées à cette modalité de financement, le </w:t>
      </w:r>
      <w:proofErr w:type="spellStart"/>
      <w:r w:rsidRPr="00D401FA">
        <w:rPr>
          <w:rFonts w:ascii="Aptos" w:hAnsi="Aptos" w:cs="Calibri"/>
        </w:rPr>
        <w:t>PforR</w:t>
      </w:r>
      <w:proofErr w:type="spellEnd"/>
      <w:r w:rsidRPr="00D401FA">
        <w:rPr>
          <w:rFonts w:ascii="Aptos" w:hAnsi="Aptos" w:cs="Calibri"/>
        </w:rPr>
        <w:t xml:space="preserve"> sera combiné avec une composante de financement </w:t>
      </w:r>
      <w:r w:rsidR="00FE2E06">
        <w:rPr>
          <w:rFonts w:ascii="Aptos" w:hAnsi="Aptos" w:cs="Calibri"/>
        </w:rPr>
        <w:t xml:space="preserve">en modalité projet </w:t>
      </w:r>
      <w:r w:rsidRPr="00D401FA">
        <w:rPr>
          <w:rFonts w:ascii="Aptos" w:hAnsi="Aptos" w:cs="Calibri"/>
        </w:rPr>
        <w:t xml:space="preserve"> (IPF). Cette composante permettra l’acquisition directe et le financement d’activités d’assistance technique (AT), de renforcement des capacités, de gestion du changement et d’autres activités « immatérielles » essentielles à la réalisation et à la consolidation des résultats du </w:t>
      </w:r>
      <w:proofErr w:type="spellStart"/>
      <w:r w:rsidRPr="00D401FA">
        <w:rPr>
          <w:rFonts w:ascii="Aptos" w:hAnsi="Aptos" w:cs="Calibri"/>
        </w:rPr>
        <w:t>PforR</w:t>
      </w:r>
      <w:proofErr w:type="spellEnd"/>
      <w:r w:rsidRPr="00D401FA">
        <w:rPr>
          <w:rFonts w:ascii="Aptos" w:hAnsi="Aptos" w:cs="Calibri"/>
        </w:rPr>
        <w:t xml:space="preserve">. Elle sera également utilisée pour financer et mobiliser l’assistance technique et le renforcement des capacités nécessaires afin de combler les lacunes des systèmes et des capacités nationales relevées dans le cadre de l’évaluation en cours du niveau de préparation de la Mauritanie à un </w:t>
      </w:r>
      <w:proofErr w:type="spellStart"/>
      <w:r w:rsidRPr="00D401FA">
        <w:rPr>
          <w:rFonts w:ascii="Aptos" w:hAnsi="Aptos" w:cs="Calibri"/>
        </w:rPr>
        <w:t>PforR</w:t>
      </w:r>
      <w:proofErr w:type="spellEnd"/>
      <w:r w:rsidRPr="00D401FA">
        <w:rPr>
          <w:rFonts w:ascii="Aptos" w:hAnsi="Aptos" w:cs="Calibri"/>
        </w:rPr>
        <w:t>.</w:t>
      </w:r>
    </w:p>
    <w:p w14:paraId="4B15549F" w14:textId="24F4D1B5" w:rsidR="00222656" w:rsidRDefault="00222656" w:rsidP="00216CAF">
      <w:pPr>
        <w:autoSpaceDE w:val="0"/>
        <w:autoSpaceDN w:val="0"/>
        <w:adjustRightInd w:val="0"/>
        <w:spacing w:line="240" w:lineRule="auto"/>
        <w:jc w:val="both"/>
        <w:rPr>
          <w:rFonts w:ascii="Aptos" w:hAnsi="Aptos" w:cs="Calibri"/>
          <w:b/>
          <w:bCs/>
        </w:rPr>
      </w:pPr>
      <w:r w:rsidRPr="006E57C8">
        <w:rPr>
          <w:rFonts w:ascii="Aptos" w:hAnsi="Aptos" w:cs="Calibri"/>
          <w:b/>
          <w:bCs/>
        </w:rPr>
        <w:t>Tableau 5 : Partenaires d’exécution du Programme et organisations responsables de l’évaluation du système E&amp;S uniquement</w:t>
      </w:r>
    </w:p>
    <w:p w14:paraId="50E920F8" w14:textId="77777777" w:rsidR="00FE2E06" w:rsidRPr="006E57C8" w:rsidRDefault="00FE2E06" w:rsidP="00216CAF">
      <w:pPr>
        <w:autoSpaceDE w:val="0"/>
        <w:autoSpaceDN w:val="0"/>
        <w:adjustRightInd w:val="0"/>
        <w:spacing w:line="240" w:lineRule="auto"/>
        <w:jc w:val="both"/>
        <w:rPr>
          <w:rFonts w:ascii="Aptos" w:hAnsi="Aptos" w:cs="Calibri"/>
          <w:b/>
          <w:bCs/>
        </w:rPr>
      </w:pPr>
    </w:p>
    <w:p w14:paraId="61458A77" w14:textId="00FE015D" w:rsidR="00B0626D" w:rsidRPr="00D401FA" w:rsidRDefault="00B0626D" w:rsidP="005C4EF8">
      <w:pPr>
        <w:pStyle w:val="Heading2"/>
      </w:pPr>
      <w:bookmarkStart w:id="59" w:name="_Toc227686280"/>
      <w:bookmarkStart w:id="60" w:name="_Toc227686315"/>
      <w:bookmarkStart w:id="61" w:name="_Toc227686361"/>
      <w:r w:rsidRPr="00D401FA">
        <w:t>Composante IPF</w:t>
      </w:r>
      <w:bookmarkEnd w:id="59"/>
      <w:bookmarkEnd w:id="60"/>
      <w:bookmarkEnd w:id="61"/>
    </w:p>
    <w:p w14:paraId="43DDDA70" w14:textId="18B5945E" w:rsidR="00B0626D" w:rsidRPr="00D401FA" w:rsidRDefault="00B0626D" w:rsidP="00216CAF">
      <w:pPr>
        <w:jc w:val="both"/>
        <w:rPr>
          <w:rFonts w:ascii="Aptos" w:hAnsi="Aptos" w:cs="Calibri"/>
        </w:rPr>
      </w:pPr>
      <w:r w:rsidRPr="00D401FA">
        <w:rPr>
          <w:rFonts w:ascii="Aptos" w:hAnsi="Aptos" w:cs="Calibri"/>
        </w:rPr>
        <w:t xml:space="preserve">La composante IPF (Projet), d’un montant de 8 millions USD, dont 3 millions USD au titre du financement de contrepartie et 5 millions USD financés par l’IDA, est conçue de manière stratégique pour financer des intrants essentiels pour renforcer un environnement favorable à la réalisation des résultats et faciliter la mise en œuvre du Programme. Le financement de contrepartie sera mobilisé à travers des allocations budgétaires annuelles de 600 000 USD au profit de la </w:t>
      </w:r>
      <w:r w:rsidR="00C71F21">
        <w:rPr>
          <w:rFonts w:ascii="Aptos" w:hAnsi="Aptos" w:cs="Calibri"/>
        </w:rPr>
        <w:t>d</w:t>
      </w:r>
      <w:r w:rsidRPr="00D401FA">
        <w:rPr>
          <w:rFonts w:ascii="Aptos" w:hAnsi="Aptos" w:cs="Calibri"/>
        </w:rPr>
        <w:t>irection hébergeant l’UCP. Cette composante est essentielle dans la mesure où la transition vers une gestion axée sur les résultats aura des incidences significatives sur la budgétisation sectorielle, la planification des programmes et la mise en œuvre de la gestion des finances publiques.</w:t>
      </w:r>
    </w:p>
    <w:p w14:paraId="3111C10C" w14:textId="6A376BCF" w:rsidR="00B0626D" w:rsidRPr="00D401FA" w:rsidRDefault="00B0626D" w:rsidP="00216CAF">
      <w:pPr>
        <w:jc w:val="both"/>
        <w:rPr>
          <w:rFonts w:ascii="Aptos" w:hAnsi="Aptos" w:cs="Calibri"/>
        </w:rPr>
      </w:pPr>
      <w:r w:rsidRPr="00D401FA">
        <w:rPr>
          <w:rFonts w:ascii="Aptos" w:hAnsi="Aptos" w:cs="Calibri"/>
        </w:rPr>
        <w:t>Le programme gouvernemental sera confronté à des défis d’adaptation tant au niveau de la prise de décision qu’à celui de la mise en œuvre, ce qui nécessite une assistance ciblée afin d’assurer une transition fluide. Une AT sera fournie pour le développement des systèmes, avec un accent particulier sur l’appui à la mise en place d’une agence nationale pour le préscolaire, la révision des normes de qualité existantes pour le préscolaire, la promotion de l’apprentissage par le jeu, ainsi que l’élaboration d’un programme familial intégrant la formation aux compétences de base et la sensibilisation à la stimulation précoce, à la nutrition, au développement de la petite enfance et à la violence basée sur le genre. En outre, cette composante appuiera l’élargissement des cours scénarisés aux classes supérieures de l’enseignement primaire, à la suite d’expérimentations pilotes concluantes, ainsi que la mise en œuvre</w:t>
      </w:r>
      <w:r w:rsidR="00CC4CC6">
        <w:rPr>
          <w:rFonts w:ascii="Aptos" w:hAnsi="Aptos" w:cs="Calibri"/>
        </w:rPr>
        <w:t>, à titre</w:t>
      </w:r>
      <w:r w:rsidRPr="00D401FA">
        <w:rPr>
          <w:rFonts w:ascii="Aptos" w:hAnsi="Aptos" w:cs="Calibri"/>
        </w:rPr>
        <w:t xml:space="preserve"> pilote</w:t>
      </w:r>
      <w:r w:rsidR="00CC4CC6">
        <w:rPr>
          <w:rFonts w:ascii="Aptos" w:hAnsi="Aptos" w:cs="Calibri"/>
        </w:rPr>
        <w:t>,</w:t>
      </w:r>
      <w:r w:rsidRPr="00D401FA">
        <w:rPr>
          <w:rFonts w:ascii="Aptos" w:hAnsi="Aptos" w:cs="Calibri"/>
        </w:rPr>
        <w:t xml:space="preserve"> de l’intégration de l’</w:t>
      </w:r>
      <w:proofErr w:type="spellStart"/>
      <w:r w:rsidRPr="00D401FA">
        <w:rPr>
          <w:rFonts w:ascii="Aptos" w:hAnsi="Aptos" w:cs="Calibri"/>
        </w:rPr>
        <w:t>Edutainment</w:t>
      </w:r>
      <w:proofErr w:type="spellEnd"/>
      <w:r w:rsidRPr="00D401FA">
        <w:rPr>
          <w:rFonts w:ascii="Aptos" w:hAnsi="Aptos" w:cs="Calibri"/>
        </w:rPr>
        <w:t xml:space="preserve"> et de l’intelligence artificielle dans les programmes de littératie et de numératie. Elle soutiendra également la mise en place d’un système robuste d’évaluation des apprentissages afin de permettre à l’unité nationale d’évaluation de conduire des évaluations régulières et de produire des données de haute qualité pour mesurer efficacement la pauvreté des apprentissages, en cohérence avec le cadre de suivi des Objectifs de développement durable (ODD). Elle intégrera les questions de genre dans les interventions du MERSE, en promouvant l’équité dans la mise en œuvre du Programme. Par ailleurs, la composante soutiendra le développement de sessions d’appui éducatif ciblées répondant aux besoins spécifiques des garçons et des filles, éclairé</w:t>
      </w:r>
      <w:r w:rsidR="00CC4CC6">
        <w:rPr>
          <w:rFonts w:ascii="Aptos" w:hAnsi="Aptos" w:cs="Calibri"/>
        </w:rPr>
        <w:t>es</w:t>
      </w:r>
      <w:r w:rsidRPr="00D401FA">
        <w:rPr>
          <w:rFonts w:ascii="Aptos" w:hAnsi="Aptos" w:cs="Calibri"/>
        </w:rPr>
        <w:t xml:space="preserve"> par une étude diagnostique de genre financée par le Programme, afin de mieux comprendre et de réduire les taux d’abandon scolaire en hausse chez les garçons.</w:t>
      </w:r>
    </w:p>
    <w:p w14:paraId="1127B258" w14:textId="6D7A1845" w:rsidR="00B0626D" w:rsidRPr="00D401FA" w:rsidRDefault="00B0626D" w:rsidP="00216CAF">
      <w:pPr>
        <w:jc w:val="both"/>
        <w:rPr>
          <w:rFonts w:ascii="Aptos" w:hAnsi="Aptos" w:cs="Calibri"/>
        </w:rPr>
      </w:pPr>
      <w:r w:rsidRPr="00D401FA">
        <w:rPr>
          <w:rFonts w:ascii="Aptos" w:hAnsi="Aptos" w:cs="Calibri"/>
        </w:rPr>
        <w:t xml:space="preserve">La composante IPF soutiendra également le renforcement des capacités et l’appui opérationnel, en garantissant </w:t>
      </w:r>
      <w:r w:rsidR="00CC4CC6">
        <w:rPr>
          <w:rFonts w:ascii="Aptos" w:hAnsi="Aptos" w:cs="Calibri"/>
        </w:rPr>
        <w:t xml:space="preserve">une dotation </w:t>
      </w:r>
      <w:r w:rsidRPr="00D401FA">
        <w:rPr>
          <w:rFonts w:ascii="Aptos" w:hAnsi="Aptos" w:cs="Calibri"/>
        </w:rPr>
        <w:t>adéquat</w:t>
      </w:r>
      <w:r w:rsidR="00CC4CC6">
        <w:rPr>
          <w:rFonts w:ascii="Aptos" w:hAnsi="Aptos" w:cs="Calibri"/>
        </w:rPr>
        <w:t>e en personnel</w:t>
      </w:r>
      <w:r w:rsidRPr="00D401FA">
        <w:rPr>
          <w:rFonts w:ascii="Aptos" w:hAnsi="Aptos" w:cs="Calibri"/>
        </w:rPr>
        <w:t xml:space="preserve">, des ressources opérationnelles suffisantes et la réalisation d’audits externes afin d’assurer une gestion fluide du Programme dans le respect des principes de redevabilité. Il s’agira notamment de recruter des consultants pour les fonctions de gestion fiduciaire et de sauvegardes environnementales et sociales (E&amp;S), telles qu’identifiées dans le Plan d’action du Programme (PAP). La composante appuiera l’élaboration d’un manuel des opérations du Programme ainsi que d’un cadre complet de suivi et d’évaluation (S&amp;E), incluant la collecte de retours des bénéficiaires à travers des enquêtes occasionnelles. Une assistance technique sera fournie aux ministères sectoriels afin de renforcer la gestion du secteur, en ciblant notamment la Direction des Affaires Financières (DAF) et l’Inspection générale. Cette assistance sera axée sur l’institutionnalisation de l’UCP, y compris par la mise en place de mécanismes de contrôle de gestion pour les directions techniques et régionales. En outre, la composante accompagnera le MERSE et le MASEF dans la diffusion et la communication des recommandations issues des revues sectorielles et des évaluations des réformes, pour </w:t>
      </w:r>
      <w:r w:rsidRPr="00D401FA">
        <w:rPr>
          <w:rFonts w:ascii="Aptos" w:hAnsi="Aptos" w:cs="Calibri"/>
        </w:rPr>
        <w:lastRenderedPageBreak/>
        <w:t>assurer l’implication des parties prenantes dans le processus de réforme. Les efforts de renforcement des capacités porteront sur le déploiement rapide de systèmes de S&amp;E et les analyses de données de haute qualité, la gestion stratégique du changement et des actions de communication destinées à favoriser l’adhésion et le soutien au Programme. Enfin, une provision a été établie pour d’autres dépenses essentielles non spécifiées afin de garantir la flexibilité opérationnelle et la capacité d’adaptation aux besoins évolutifs au cours de la mise en œuvre.</w:t>
      </w:r>
    </w:p>
    <w:p w14:paraId="76BFC963" w14:textId="77777777" w:rsidR="005C4EF8" w:rsidRDefault="005C4EF8">
      <w:pPr>
        <w:rPr>
          <w:rFonts w:ascii="Aptos" w:hAnsi="Aptos" w:cs="Calibri"/>
          <w:b/>
          <w:bCs/>
        </w:rPr>
      </w:pPr>
      <w:r>
        <w:rPr>
          <w:rFonts w:ascii="Aptos" w:hAnsi="Aptos" w:cs="Calibri"/>
          <w:b/>
          <w:bCs/>
        </w:rPr>
        <w:br w:type="page"/>
      </w:r>
    </w:p>
    <w:p w14:paraId="4386060C" w14:textId="1739FAA2" w:rsidR="00222656" w:rsidRPr="00D401FA" w:rsidRDefault="00222656" w:rsidP="005C4EF8">
      <w:pPr>
        <w:pStyle w:val="Heading1"/>
      </w:pPr>
      <w:bookmarkStart w:id="62" w:name="_Toc227686281"/>
      <w:bookmarkStart w:id="63" w:name="_Toc227686316"/>
      <w:bookmarkStart w:id="64" w:name="_Toc227686362"/>
      <w:r w:rsidRPr="00D401FA">
        <w:lastRenderedPageBreak/>
        <w:t>Impacts environnementaux et sociaux</w:t>
      </w:r>
      <w:bookmarkEnd w:id="62"/>
      <w:bookmarkEnd w:id="63"/>
      <w:bookmarkEnd w:id="64"/>
    </w:p>
    <w:p w14:paraId="07A2C332" w14:textId="5F021450" w:rsidR="00222656" w:rsidRPr="00D401FA" w:rsidRDefault="00222656" w:rsidP="005C4EF8">
      <w:pPr>
        <w:pStyle w:val="Heading2"/>
      </w:pPr>
      <w:bookmarkStart w:id="65" w:name="_Toc227686282"/>
      <w:bookmarkStart w:id="66" w:name="_Toc227686317"/>
      <w:bookmarkStart w:id="67" w:name="_Toc227686363"/>
      <w:r w:rsidRPr="00D401FA">
        <w:t>Systèmes de gestion environnementale et sociale</w:t>
      </w:r>
      <w:bookmarkEnd w:id="65"/>
      <w:bookmarkEnd w:id="66"/>
      <w:bookmarkEnd w:id="67"/>
    </w:p>
    <w:p w14:paraId="0A26F78F" w14:textId="4EEAD593" w:rsidR="00222656" w:rsidRPr="00D401FA" w:rsidRDefault="00222656" w:rsidP="005C4EF8">
      <w:pPr>
        <w:pStyle w:val="Heading3"/>
      </w:pPr>
      <w:bookmarkStart w:id="68" w:name="_Toc227686318"/>
      <w:bookmarkStart w:id="69" w:name="_Toc227686364"/>
      <w:r w:rsidRPr="00D401FA">
        <w:t>Cadre institutionnel de la gestion environnementale</w:t>
      </w:r>
      <w:bookmarkEnd w:id="68"/>
      <w:bookmarkEnd w:id="69"/>
    </w:p>
    <w:p w14:paraId="13F3EABD" w14:textId="66DA80CC" w:rsidR="00222656" w:rsidRPr="00D401FA" w:rsidRDefault="00222656" w:rsidP="00216CAF">
      <w:pPr>
        <w:jc w:val="both"/>
        <w:rPr>
          <w:rFonts w:ascii="Aptos" w:hAnsi="Aptos" w:cs="Calibri"/>
        </w:rPr>
      </w:pPr>
      <w:r w:rsidRPr="00D401FA">
        <w:rPr>
          <w:rFonts w:ascii="Aptos" w:hAnsi="Aptos" w:cs="Calibri"/>
          <w:b/>
          <w:bCs/>
        </w:rPr>
        <w:t xml:space="preserve">Ministère de l’Environnement et du Développement </w:t>
      </w:r>
      <w:r w:rsidR="00CC4CC6">
        <w:rPr>
          <w:rFonts w:ascii="Aptos" w:hAnsi="Aptos" w:cs="Calibri"/>
          <w:b/>
          <w:bCs/>
        </w:rPr>
        <w:t>D</w:t>
      </w:r>
      <w:r w:rsidRPr="00D401FA">
        <w:rPr>
          <w:rFonts w:ascii="Aptos" w:hAnsi="Aptos" w:cs="Calibri"/>
          <w:b/>
          <w:bCs/>
        </w:rPr>
        <w:t>urable (MEDD)</w:t>
      </w:r>
    </w:p>
    <w:p w14:paraId="0F811A92" w14:textId="77777777" w:rsidR="00222656" w:rsidRPr="00D401FA" w:rsidRDefault="00222656" w:rsidP="00216CAF">
      <w:pPr>
        <w:jc w:val="both"/>
        <w:rPr>
          <w:rFonts w:ascii="Aptos" w:hAnsi="Aptos" w:cs="Calibri"/>
        </w:rPr>
      </w:pPr>
      <w:r w:rsidRPr="00D401FA">
        <w:rPr>
          <w:rFonts w:ascii="Aptos" w:hAnsi="Aptos" w:cs="Calibri"/>
        </w:rPr>
        <w:t>Le décret n° 081-2024 du 30 avril 2024, récemment adopté, définit les attributions et l’organisation du MEDD, abrogeant toutes les dispositions antérieures. Le MEDD est chargé de l’élaboration, de la mise en œuvre et du suivi de la politique gouvernementale en matière de protection de l’environnement, de biodiversité, de lutte contre la désertification, de gestion rationnelle des ressources naturelles, de prévention et de gestion des risques de pollution, ainsi que de lutte contre le changement climatique. À ce titre, il est notamment chargé de :</w:t>
      </w:r>
    </w:p>
    <w:p w14:paraId="66E51892" w14:textId="77777777" w:rsidR="00222656" w:rsidRPr="00D401FA" w:rsidRDefault="00222656" w:rsidP="008B048C">
      <w:pPr>
        <w:numPr>
          <w:ilvl w:val="0"/>
          <w:numId w:val="8"/>
        </w:numPr>
        <w:spacing w:after="0"/>
        <w:ind w:left="714" w:hanging="357"/>
        <w:jc w:val="both"/>
        <w:rPr>
          <w:rFonts w:ascii="Aptos" w:hAnsi="Aptos" w:cs="Calibri"/>
        </w:rPr>
      </w:pPr>
      <w:r w:rsidRPr="00D401FA">
        <w:rPr>
          <w:rFonts w:ascii="Aptos" w:hAnsi="Aptos" w:cs="Calibri"/>
        </w:rPr>
        <w:t>veiller à la bonne application de la politique environnementale en menant les enquêtes, contrôles et inspections nécessaires pour vérifier l’application effective de la réglementation et des normes environnementales, dans le but de limiter les atteintes à l’environnement ;</w:t>
      </w:r>
    </w:p>
    <w:p w14:paraId="7DEC8874" w14:textId="77777777" w:rsidR="00222656" w:rsidRPr="00D401FA" w:rsidRDefault="00222656" w:rsidP="008B048C">
      <w:pPr>
        <w:numPr>
          <w:ilvl w:val="0"/>
          <w:numId w:val="8"/>
        </w:numPr>
        <w:spacing w:after="0"/>
        <w:ind w:left="714" w:hanging="357"/>
        <w:jc w:val="both"/>
        <w:rPr>
          <w:rFonts w:ascii="Aptos" w:hAnsi="Aptos" w:cs="Calibri"/>
        </w:rPr>
      </w:pPr>
      <w:r w:rsidRPr="00D401FA">
        <w:rPr>
          <w:rFonts w:ascii="Aptos" w:hAnsi="Aptos" w:cs="Calibri"/>
        </w:rPr>
        <w:t>réaliser les évaluations environnementales des politiques, plans et programmes de développement, conformément aux principes de précaution et de prévention ;</w:t>
      </w:r>
    </w:p>
    <w:p w14:paraId="763BCE29" w14:textId="3752EEF4" w:rsidR="00222656" w:rsidRPr="00D401FA" w:rsidRDefault="00222656" w:rsidP="008B048C">
      <w:pPr>
        <w:numPr>
          <w:ilvl w:val="0"/>
          <w:numId w:val="8"/>
        </w:numPr>
        <w:spacing w:after="0"/>
        <w:ind w:left="714" w:hanging="357"/>
        <w:jc w:val="both"/>
        <w:rPr>
          <w:rFonts w:ascii="Aptos" w:hAnsi="Aptos" w:cs="Calibri"/>
        </w:rPr>
      </w:pPr>
      <w:r w:rsidRPr="00D401FA">
        <w:rPr>
          <w:rFonts w:ascii="Aptos" w:hAnsi="Aptos" w:cs="Calibri"/>
        </w:rPr>
        <w:t xml:space="preserve">appuyer et </w:t>
      </w:r>
      <w:r w:rsidR="00CC4CC6">
        <w:rPr>
          <w:rFonts w:ascii="Aptos" w:hAnsi="Aptos" w:cs="Calibri"/>
        </w:rPr>
        <w:t>superviser</w:t>
      </w:r>
      <w:r w:rsidRPr="00D401FA">
        <w:rPr>
          <w:rFonts w:ascii="Aptos" w:hAnsi="Aptos" w:cs="Calibri"/>
        </w:rPr>
        <w:t xml:space="preserve"> les collectivités territoriales, dotées de compétences en matière environnementale, dans leurs actions de protection et de restauration de l’environnement</w:t>
      </w:r>
      <w:r w:rsidR="005C4EF8">
        <w:rPr>
          <w:rFonts w:ascii="Aptos" w:hAnsi="Aptos" w:cs="Calibri"/>
        </w:rPr>
        <w:t> </w:t>
      </w:r>
      <w:r w:rsidRPr="00D401FA">
        <w:rPr>
          <w:rFonts w:ascii="Aptos" w:hAnsi="Aptos" w:cs="Calibri"/>
        </w:rPr>
        <w:t>;</w:t>
      </w:r>
    </w:p>
    <w:p w14:paraId="6F60FD31" w14:textId="77777777" w:rsidR="00222656" w:rsidRPr="00D401FA" w:rsidRDefault="00222656" w:rsidP="008B048C">
      <w:pPr>
        <w:numPr>
          <w:ilvl w:val="0"/>
          <w:numId w:val="8"/>
        </w:numPr>
        <w:spacing w:after="0"/>
        <w:ind w:left="714" w:hanging="357"/>
        <w:jc w:val="both"/>
        <w:rPr>
          <w:rFonts w:ascii="Aptos" w:hAnsi="Aptos" w:cs="Calibri"/>
        </w:rPr>
      </w:pPr>
      <w:r w:rsidRPr="00D401FA">
        <w:rPr>
          <w:rFonts w:ascii="Aptos" w:hAnsi="Aptos" w:cs="Calibri"/>
        </w:rPr>
        <w:t>orienter et encourager la recherche scientifique dans le domaine de l’environnement et de l’économie verte ;</w:t>
      </w:r>
    </w:p>
    <w:p w14:paraId="76DE3C34" w14:textId="77777777" w:rsidR="00222656" w:rsidRPr="00D401FA" w:rsidRDefault="00222656" w:rsidP="008B048C">
      <w:pPr>
        <w:numPr>
          <w:ilvl w:val="0"/>
          <w:numId w:val="8"/>
        </w:numPr>
        <w:jc w:val="both"/>
        <w:rPr>
          <w:rFonts w:ascii="Aptos" w:hAnsi="Aptos" w:cs="Calibri"/>
        </w:rPr>
      </w:pPr>
      <w:r w:rsidRPr="00D401FA">
        <w:rPr>
          <w:rFonts w:ascii="Aptos" w:hAnsi="Aptos" w:cs="Calibri"/>
        </w:rPr>
        <w:t>etc.</w:t>
      </w:r>
    </w:p>
    <w:p w14:paraId="46B89D63" w14:textId="592E6590" w:rsidR="00222656" w:rsidRPr="00D401FA" w:rsidRDefault="00222656" w:rsidP="00216CAF">
      <w:pPr>
        <w:jc w:val="both"/>
        <w:rPr>
          <w:rFonts w:ascii="Aptos" w:hAnsi="Aptos" w:cs="Calibri"/>
        </w:rPr>
      </w:pPr>
      <w:r w:rsidRPr="00D401FA">
        <w:rPr>
          <w:rFonts w:ascii="Aptos" w:hAnsi="Aptos" w:cs="Calibri"/>
        </w:rPr>
        <w:t xml:space="preserve">Sous l’autorité du Ministre, le MEDD </w:t>
      </w:r>
      <w:r w:rsidR="00CC4CC6">
        <w:rPr>
          <w:rFonts w:ascii="Aptos" w:hAnsi="Aptos" w:cs="Calibri"/>
        </w:rPr>
        <w:t>regroupe</w:t>
      </w:r>
      <w:r w:rsidRPr="00D401FA">
        <w:rPr>
          <w:rFonts w:ascii="Aptos" w:hAnsi="Aptos" w:cs="Calibri"/>
        </w:rPr>
        <w:t xml:space="preserve"> trois unités, quatre conseillers techniques, un Secrétaire général et sept directions centrales (voir l’organigramme du Ministère à la figure 3 ci-dessous), dont la Direction de l’Évaluation et du Contrôle Environnemental (DECE), appuyée par ses Délégations Régionales de l’Environnement (DREV).</w:t>
      </w:r>
    </w:p>
    <w:p w14:paraId="337ABA9A" w14:textId="77777777" w:rsidR="00222656" w:rsidRPr="00D401FA" w:rsidRDefault="00222656" w:rsidP="00216CAF">
      <w:pPr>
        <w:jc w:val="both"/>
        <w:rPr>
          <w:rFonts w:ascii="Aptos" w:hAnsi="Aptos" w:cs="Calibri"/>
        </w:rPr>
      </w:pPr>
      <w:r w:rsidRPr="00D401FA">
        <w:rPr>
          <w:rFonts w:ascii="Aptos" w:hAnsi="Aptos" w:cs="Calibri"/>
          <w:b/>
          <w:bCs/>
        </w:rPr>
        <w:t>Direction de l’Évaluation et du Contrôle Environnemental (DECE)</w:t>
      </w:r>
    </w:p>
    <w:p w14:paraId="06558568" w14:textId="6CECF96E" w:rsidR="00222656" w:rsidRPr="00D401FA" w:rsidRDefault="00222656" w:rsidP="00216CAF">
      <w:pPr>
        <w:jc w:val="both"/>
        <w:rPr>
          <w:rFonts w:ascii="Aptos" w:hAnsi="Aptos" w:cs="Calibri"/>
        </w:rPr>
      </w:pPr>
      <w:r w:rsidRPr="00D401FA">
        <w:rPr>
          <w:rFonts w:ascii="Aptos" w:hAnsi="Aptos" w:cs="Calibri"/>
        </w:rPr>
        <w:t>Pour appliquer et suivre les procédures d’</w:t>
      </w:r>
      <w:r w:rsidR="0068719F">
        <w:rPr>
          <w:rFonts w:ascii="Aptos" w:hAnsi="Aptos" w:cs="Calibri"/>
        </w:rPr>
        <w:t xml:space="preserve"> Évaluation d’impact environnemental et social </w:t>
      </w:r>
      <w:r w:rsidRPr="00D401FA">
        <w:rPr>
          <w:rFonts w:ascii="Aptos" w:hAnsi="Aptos" w:cs="Calibri"/>
        </w:rPr>
        <w:t xml:space="preserve">(EIES), le MEDD s’appuie sur la DECE, qui </w:t>
      </w:r>
      <w:r w:rsidR="00CC4CC6">
        <w:rPr>
          <w:rFonts w:ascii="Aptos" w:hAnsi="Aptos" w:cs="Calibri"/>
        </w:rPr>
        <w:t>est</w:t>
      </w:r>
      <w:r w:rsidRPr="00D401FA">
        <w:rPr>
          <w:rFonts w:ascii="Aptos" w:hAnsi="Aptos" w:cs="Calibri"/>
        </w:rPr>
        <w:t xml:space="preserve"> la structure chargée de la mise en œuvre de la politique d’évaluation environnementale en Mauritanie, et l’organe habilité à instruire et valider les études d’impact environnemental pour les projets sur l’ensemble du territoire. Dotée de cadres aux profils variés, la DECE a également pour mission de veiller à l’application des dispositions relatives aux EIES et de préparer, à l’attention du Ministre chargé de l’Environnement, les avis et décisions en matière d’évaluation environnementale, avec l’appui des Délégations Régionales de l’Environnement (DREV) lorsque nécessaire.</w:t>
      </w:r>
    </w:p>
    <w:p w14:paraId="19EBA9FF" w14:textId="456502B8" w:rsidR="00222656" w:rsidRPr="00D401FA" w:rsidRDefault="00222656" w:rsidP="00216CAF">
      <w:pPr>
        <w:jc w:val="both"/>
        <w:rPr>
          <w:rFonts w:ascii="Aptos" w:hAnsi="Aptos" w:cs="Calibri"/>
        </w:rPr>
      </w:pPr>
      <w:r w:rsidRPr="00D401FA">
        <w:rPr>
          <w:rFonts w:ascii="Aptos" w:hAnsi="Aptos" w:cs="Calibri"/>
        </w:rPr>
        <w:t xml:space="preserve">Dirigée par un Directeur assisté d’un Directeur adjoint, la DECE est la structure dédiée à l’évaluation environnementale établie par le cadre politique et législatif en Mauritanie. Elle dispose d’environ dix professionnels à temps plein chargés du traitement des dossiers d’évaluation environnementale sur le plan procédural et juridique, ainsi que d’une dizaine de professionnels dédiés à l’examen et à l’analyse technique des documents d’évaluation </w:t>
      </w:r>
      <w:r w:rsidRPr="00D401FA">
        <w:rPr>
          <w:rFonts w:ascii="Aptos" w:hAnsi="Aptos" w:cs="Calibri"/>
        </w:rPr>
        <w:lastRenderedPageBreak/>
        <w:t xml:space="preserve">environnementale. </w:t>
      </w:r>
      <w:r w:rsidR="00CC4CC6">
        <w:rPr>
          <w:rFonts w:ascii="Aptos" w:hAnsi="Aptos" w:cs="Calibri"/>
        </w:rPr>
        <w:t>Cette agence environnementale</w:t>
      </w:r>
      <w:r w:rsidRPr="00D401FA">
        <w:rPr>
          <w:rFonts w:ascii="Aptos" w:hAnsi="Aptos" w:cs="Calibri"/>
        </w:rPr>
        <w:t xml:space="preserve"> fait également appel, en tant que de besoin, à des experts externes pour certaines étapes spécifiques, notamment pour l’analyse des rapports d’évaluation environnementale.</w:t>
      </w:r>
    </w:p>
    <w:p w14:paraId="0E656C4A" w14:textId="77777777" w:rsidR="005C4EF8" w:rsidRPr="005C4EF8" w:rsidRDefault="00222656" w:rsidP="00216CAF">
      <w:pPr>
        <w:jc w:val="both"/>
        <w:rPr>
          <w:rFonts w:ascii="Aptos" w:hAnsi="Aptos" w:cs="Calibri"/>
          <w:b/>
          <w:bCs/>
        </w:rPr>
      </w:pPr>
      <w:r w:rsidRPr="005C4EF8">
        <w:rPr>
          <w:rFonts w:ascii="Aptos" w:hAnsi="Aptos" w:cs="Calibri"/>
          <w:b/>
          <w:bCs/>
        </w:rPr>
        <w:t>Figure 3 : Organigramme du MEDD</w:t>
      </w:r>
    </w:p>
    <w:p w14:paraId="00E54C7F" w14:textId="23DD9EA8" w:rsidR="00222656" w:rsidRPr="005C4EF8" w:rsidRDefault="005C4EF8" w:rsidP="00216CAF">
      <w:pPr>
        <w:jc w:val="both"/>
        <w:rPr>
          <w:rFonts w:ascii="Aptos" w:hAnsi="Aptos" w:cs="Calibri"/>
          <w:i/>
          <w:iCs/>
        </w:rPr>
      </w:pPr>
      <w:r w:rsidRPr="00C07AB1">
        <w:rPr>
          <w:rFonts w:cs="Calibri"/>
          <w:b/>
          <w:bCs/>
          <w:noProof/>
          <w:sz w:val="21"/>
          <w:szCs w:val="21"/>
          <w:lang w:val="en-US"/>
        </w:rPr>
        <w:drawing>
          <wp:inline distT="0" distB="0" distL="0" distR="0" wp14:anchorId="081C4F5A" wp14:editId="411CEBA3">
            <wp:extent cx="4882101" cy="4948343"/>
            <wp:effectExtent l="0" t="0" r="0" b="5080"/>
            <wp:docPr id="45171476" name="Image 1" descr="An image containing text, screenshot, parallel, number&#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1476" name="Image 1" descr="Une image contenant texte, capture d’écran, Parallèle, nombre&#10;&#10;Description générée automatiquement"/>
                    <pic:cNvPicPr/>
                  </pic:nvPicPr>
                  <pic:blipFill>
                    <a:blip r:embed="rId12"/>
                    <a:stretch>
                      <a:fillRect/>
                    </a:stretch>
                  </pic:blipFill>
                  <pic:spPr>
                    <a:xfrm>
                      <a:off x="0" y="0"/>
                      <a:ext cx="4896803" cy="4963244"/>
                    </a:xfrm>
                    <a:prstGeom prst="rect">
                      <a:avLst/>
                    </a:prstGeom>
                  </pic:spPr>
                </pic:pic>
              </a:graphicData>
            </a:graphic>
          </wp:inline>
        </w:drawing>
      </w:r>
      <w:r w:rsidR="00222656" w:rsidRPr="00D401FA">
        <w:rPr>
          <w:rFonts w:ascii="Aptos" w:hAnsi="Aptos" w:cs="Calibri"/>
        </w:rPr>
        <w:br/>
      </w:r>
      <w:r w:rsidR="00222656" w:rsidRPr="005C4EF8">
        <w:rPr>
          <w:rFonts w:ascii="Aptos" w:hAnsi="Aptos" w:cs="Calibri"/>
          <w:i/>
          <w:iCs/>
        </w:rPr>
        <w:t>(Organigramme élaboré à partir du décret n° 081-2024 du 30 avril 2024)</w:t>
      </w:r>
    </w:p>
    <w:p w14:paraId="77B441BB" w14:textId="77777777" w:rsidR="00222656" w:rsidRPr="005C4EF8" w:rsidRDefault="00222656" w:rsidP="00216CAF">
      <w:pPr>
        <w:jc w:val="both"/>
        <w:rPr>
          <w:rFonts w:ascii="Aptos" w:hAnsi="Aptos" w:cs="Calibri"/>
        </w:rPr>
      </w:pPr>
      <w:r w:rsidRPr="005C4EF8">
        <w:rPr>
          <w:rFonts w:ascii="Aptos" w:hAnsi="Aptos" w:cs="Calibri"/>
        </w:rPr>
        <w:t>Pour mener à bien sa mission, la DECE est constituée de quatre entités :</w:t>
      </w:r>
    </w:p>
    <w:p w14:paraId="594A9978" w14:textId="77777777" w:rsidR="00222656" w:rsidRPr="00D401FA" w:rsidRDefault="00222656" w:rsidP="008B048C">
      <w:pPr>
        <w:numPr>
          <w:ilvl w:val="0"/>
          <w:numId w:val="9"/>
        </w:numPr>
        <w:jc w:val="both"/>
        <w:rPr>
          <w:rFonts w:ascii="Aptos" w:hAnsi="Aptos" w:cs="Calibri"/>
        </w:rPr>
      </w:pPr>
      <w:r w:rsidRPr="00D401FA">
        <w:rPr>
          <w:rFonts w:ascii="Aptos" w:hAnsi="Aptos" w:cs="Calibri"/>
        </w:rPr>
        <w:t>la Cellule de Contrôle et d’Inspection Environnementale, chargée notamment du suivi de la mise en œuvre des Plans et Cadres de gestion environnementale et sociale des projets, plans et programmes, ainsi que du suivi des plans de sauvegardes environnementales et sociales des projets financés par les partenaires techniques et financiers ;</w:t>
      </w:r>
    </w:p>
    <w:p w14:paraId="1DEE839C" w14:textId="77777777" w:rsidR="00222656" w:rsidRPr="00D401FA" w:rsidRDefault="00222656" w:rsidP="008B048C">
      <w:pPr>
        <w:numPr>
          <w:ilvl w:val="0"/>
          <w:numId w:val="9"/>
        </w:numPr>
        <w:jc w:val="both"/>
        <w:rPr>
          <w:rFonts w:ascii="Aptos" w:hAnsi="Aptos" w:cs="Calibri"/>
        </w:rPr>
      </w:pPr>
      <w:r w:rsidRPr="00D401FA">
        <w:rPr>
          <w:rFonts w:ascii="Aptos" w:hAnsi="Aptos" w:cs="Calibri"/>
        </w:rPr>
        <w:t>le Service de Prévention des Pollutions, des Risques Environnementaux et des Catastrophes, chargé notamment de la prévention et de la réduction des pollutions et nuisances issues des activités industrielles, artisanales, agricoles, commerciales, sociales et autres, ainsi que du suivi des programmes de dépollution, de restauration et de réhabilitation environnementale ;</w:t>
      </w:r>
    </w:p>
    <w:p w14:paraId="623BCA8A" w14:textId="77777777" w:rsidR="00222656" w:rsidRPr="00D401FA" w:rsidRDefault="00222656" w:rsidP="008B048C">
      <w:pPr>
        <w:numPr>
          <w:ilvl w:val="0"/>
          <w:numId w:val="9"/>
        </w:numPr>
        <w:jc w:val="both"/>
        <w:rPr>
          <w:rFonts w:ascii="Aptos" w:hAnsi="Aptos" w:cs="Calibri"/>
        </w:rPr>
      </w:pPr>
      <w:r w:rsidRPr="00D401FA">
        <w:rPr>
          <w:rFonts w:ascii="Aptos" w:hAnsi="Aptos" w:cs="Calibri"/>
        </w:rPr>
        <w:t>la Cellule des Partenariats et de la Documentation, chargée d’établir des relations avec les différentes organisations et institutions, et de collecter, organiser et diffuser les informations relatives à l’environnement.</w:t>
      </w:r>
    </w:p>
    <w:p w14:paraId="2AD60C4A" w14:textId="77777777" w:rsidR="00222656" w:rsidRPr="005C4EF8" w:rsidRDefault="00222656" w:rsidP="00216CAF">
      <w:pPr>
        <w:jc w:val="both"/>
        <w:rPr>
          <w:rFonts w:ascii="Aptos" w:hAnsi="Aptos" w:cs="Calibri"/>
          <w:b/>
          <w:bCs/>
        </w:rPr>
      </w:pPr>
      <w:r w:rsidRPr="005C4EF8">
        <w:rPr>
          <w:rFonts w:ascii="Aptos" w:hAnsi="Aptos" w:cs="Calibri"/>
          <w:b/>
          <w:bCs/>
        </w:rPr>
        <w:lastRenderedPageBreak/>
        <w:t>Encadré 2 : Missions de la DECE</w:t>
      </w:r>
    </w:p>
    <w:tbl>
      <w:tblPr>
        <w:tblStyle w:val="TableGrid"/>
        <w:tblW w:w="0" w:type="auto"/>
        <w:tblLook w:val="04A0" w:firstRow="1" w:lastRow="0" w:firstColumn="1" w:lastColumn="0" w:noHBand="0" w:noVBand="1"/>
      </w:tblPr>
      <w:tblGrid>
        <w:gridCol w:w="9062"/>
      </w:tblGrid>
      <w:tr w:rsidR="003C573C" w:rsidRPr="00D401FA" w14:paraId="29C8AA9B" w14:textId="77777777" w:rsidTr="00F34F90">
        <w:tc>
          <w:tcPr>
            <w:tcW w:w="9062" w:type="dxa"/>
            <w:shd w:val="clear" w:color="auto" w:fill="EDEDED" w:themeFill="accent3" w:themeFillTint="33"/>
          </w:tcPr>
          <w:p w14:paraId="36E4D492" w14:textId="77777777" w:rsidR="003C573C" w:rsidRPr="00387B16" w:rsidRDefault="003C573C" w:rsidP="00216CAF">
            <w:pPr>
              <w:jc w:val="both"/>
              <w:rPr>
                <w:rFonts w:ascii="Aptos" w:hAnsi="Aptos" w:cs="Calibri"/>
                <w:sz w:val="20"/>
                <w:szCs w:val="20"/>
              </w:rPr>
            </w:pPr>
            <w:r w:rsidRPr="00387B16">
              <w:rPr>
                <w:rFonts w:ascii="Aptos" w:hAnsi="Aptos" w:cs="Calibri"/>
                <w:sz w:val="20"/>
                <w:szCs w:val="20"/>
              </w:rPr>
              <w:t>Selon l’article 34 du décret n° 081-2024 du 30 avril 2024, les principales missions de la DECE sont les suivantes :</w:t>
            </w:r>
          </w:p>
          <w:p w14:paraId="03BBC4F4" w14:textId="5B8F2753" w:rsidR="003C573C" w:rsidRPr="00387B16" w:rsidRDefault="003C573C" w:rsidP="008B048C">
            <w:pPr>
              <w:numPr>
                <w:ilvl w:val="0"/>
                <w:numId w:val="10"/>
              </w:numPr>
              <w:jc w:val="both"/>
              <w:rPr>
                <w:rFonts w:ascii="Aptos" w:hAnsi="Aptos" w:cs="Calibri"/>
                <w:sz w:val="20"/>
                <w:szCs w:val="20"/>
              </w:rPr>
            </w:pPr>
            <w:r w:rsidRPr="00387B16">
              <w:rPr>
                <w:rFonts w:ascii="Aptos" w:hAnsi="Aptos" w:cs="Calibri"/>
                <w:sz w:val="20"/>
                <w:szCs w:val="20"/>
              </w:rPr>
              <w:t xml:space="preserve">évaluer, en étroite collaboration avec les entités techniques concernées, la recevabilité des études d’impact environnemental et soumettre un avis de faisabilité environnementale au </w:t>
            </w:r>
            <w:r w:rsidR="00C71F21">
              <w:rPr>
                <w:rFonts w:ascii="Aptos" w:hAnsi="Aptos" w:cs="Calibri"/>
                <w:sz w:val="20"/>
                <w:szCs w:val="20"/>
              </w:rPr>
              <w:t>m</w:t>
            </w:r>
            <w:r w:rsidRPr="00387B16">
              <w:rPr>
                <w:rFonts w:ascii="Aptos" w:hAnsi="Aptos" w:cs="Calibri"/>
                <w:sz w:val="20"/>
                <w:szCs w:val="20"/>
              </w:rPr>
              <w:t>inistre ;</w:t>
            </w:r>
          </w:p>
          <w:p w14:paraId="557F64EF" w14:textId="77777777" w:rsidR="003C573C" w:rsidRPr="00387B16" w:rsidRDefault="003C573C" w:rsidP="008B048C">
            <w:pPr>
              <w:numPr>
                <w:ilvl w:val="0"/>
                <w:numId w:val="10"/>
              </w:numPr>
              <w:jc w:val="both"/>
              <w:rPr>
                <w:rFonts w:ascii="Aptos" w:hAnsi="Aptos" w:cs="Calibri"/>
                <w:sz w:val="20"/>
                <w:szCs w:val="20"/>
              </w:rPr>
            </w:pPr>
            <w:r w:rsidRPr="00387B16">
              <w:rPr>
                <w:rFonts w:ascii="Aptos" w:hAnsi="Aptos" w:cs="Calibri"/>
                <w:sz w:val="20"/>
                <w:szCs w:val="20"/>
              </w:rPr>
              <w:t>élaborer et suivre les procédures d’évaluation d’impact environnemental ;</w:t>
            </w:r>
          </w:p>
          <w:p w14:paraId="135009AE" w14:textId="77777777" w:rsidR="003C573C" w:rsidRPr="00387B16" w:rsidRDefault="003C573C" w:rsidP="008B048C">
            <w:pPr>
              <w:numPr>
                <w:ilvl w:val="0"/>
                <w:numId w:val="10"/>
              </w:numPr>
              <w:jc w:val="both"/>
              <w:rPr>
                <w:rFonts w:ascii="Aptos" w:hAnsi="Aptos" w:cs="Calibri"/>
                <w:sz w:val="20"/>
                <w:szCs w:val="20"/>
              </w:rPr>
            </w:pPr>
            <w:r w:rsidRPr="00387B16">
              <w:rPr>
                <w:rFonts w:ascii="Aptos" w:hAnsi="Aptos" w:cs="Calibri"/>
                <w:sz w:val="20"/>
                <w:szCs w:val="20"/>
              </w:rPr>
              <w:t>élaborer et diffuser des directives et des guides encadrant les différentes étapes du processus d’évaluation d’impact environnemental et d’audit environnemental ;</w:t>
            </w:r>
          </w:p>
          <w:p w14:paraId="00901E6C" w14:textId="77777777" w:rsidR="003C573C" w:rsidRPr="00387B16" w:rsidRDefault="003C573C" w:rsidP="008B048C">
            <w:pPr>
              <w:numPr>
                <w:ilvl w:val="0"/>
                <w:numId w:val="10"/>
              </w:numPr>
              <w:jc w:val="both"/>
              <w:rPr>
                <w:rFonts w:ascii="Aptos" w:hAnsi="Aptos" w:cs="Calibri"/>
                <w:sz w:val="20"/>
                <w:szCs w:val="20"/>
              </w:rPr>
            </w:pPr>
            <w:r w:rsidRPr="00387B16">
              <w:rPr>
                <w:rFonts w:ascii="Aptos" w:hAnsi="Aptos" w:cs="Calibri"/>
                <w:sz w:val="20"/>
                <w:szCs w:val="20"/>
              </w:rPr>
              <w:t>réaliser des évaluations environnementales stratégiques et des évaluations intégrées des écosystèmes ;</w:t>
            </w:r>
          </w:p>
          <w:p w14:paraId="33EBD047" w14:textId="77777777" w:rsidR="003C573C" w:rsidRPr="00387B16" w:rsidRDefault="003C573C" w:rsidP="008B048C">
            <w:pPr>
              <w:numPr>
                <w:ilvl w:val="0"/>
                <w:numId w:val="10"/>
              </w:numPr>
              <w:jc w:val="both"/>
              <w:rPr>
                <w:rFonts w:ascii="Aptos" w:hAnsi="Aptos" w:cs="Calibri"/>
                <w:sz w:val="20"/>
                <w:szCs w:val="20"/>
              </w:rPr>
            </w:pPr>
            <w:r w:rsidRPr="00387B16">
              <w:rPr>
                <w:rFonts w:ascii="Aptos" w:hAnsi="Aptos" w:cs="Calibri"/>
                <w:sz w:val="20"/>
                <w:szCs w:val="20"/>
              </w:rPr>
              <w:t>assurer le suivi des installations classées pour la protection de l’environnement ;</w:t>
            </w:r>
          </w:p>
          <w:p w14:paraId="78A212BA" w14:textId="77777777" w:rsidR="003C573C" w:rsidRPr="00387B16" w:rsidRDefault="003C573C" w:rsidP="008B048C">
            <w:pPr>
              <w:numPr>
                <w:ilvl w:val="0"/>
                <w:numId w:val="10"/>
              </w:numPr>
              <w:jc w:val="both"/>
              <w:rPr>
                <w:rFonts w:ascii="Aptos" w:hAnsi="Aptos" w:cs="Calibri"/>
                <w:sz w:val="20"/>
                <w:szCs w:val="20"/>
              </w:rPr>
            </w:pPr>
            <w:r w:rsidRPr="00387B16">
              <w:rPr>
                <w:rFonts w:ascii="Aptos" w:hAnsi="Aptos" w:cs="Calibri"/>
                <w:sz w:val="20"/>
                <w:szCs w:val="20"/>
              </w:rPr>
              <w:t>identifier les sources de pollution, élaborer des politiques, stratégies et plans d’action, et en coordonner la mise en œuvre, en vue de la prévention et du contrôle des pollutions et nuisances chimiques et biologiques ;</w:t>
            </w:r>
          </w:p>
          <w:p w14:paraId="7CB5543A" w14:textId="77777777" w:rsidR="003C573C" w:rsidRPr="00387B16" w:rsidRDefault="003C573C" w:rsidP="008B048C">
            <w:pPr>
              <w:numPr>
                <w:ilvl w:val="0"/>
                <w:numId w:val="10"/>
              </w:numPr>
              <w:jc w:val="both"/>
              <w:rPr>
                <w:rFonts w:ascii="Aptos" w:hAnsi="Aptos" w:cs="Calibri"/>
                <w:sz w:val="20"/>
                <w:szCs w:val="20"/>
              </w:rPr>
            </w:pPr>
            <w:r w:rsidRPr="00387B16">
              <w:rPr>
                <w:rFonts w:ascii="Aptos" w:hAnsi="Aptos" w:cs="Calibri"/>
                <w:sz w:val="20"/>
                <w:szCs w:val="20"/>
              </w:rPr>
              <w:t>contribuer à l’élaboration et à la mise en œuvre de programmes de sensibilisation et d’éducation à l’environnement ;</w:t>
            </w:r>
          </w:p>
          <w:p w14:paraId="536D37D2" w14:textId="77777777" w:rsidR="003C573C" w:rsidRPr="00387B16" w:rsidRDefault="003C573C" w:rsidP="008B048C">
            <w:pPr>
              <w:numPr>
                <w:ilvl w:val="0"/>
                <w:numId w:val="10"/>
              </w:numPr>
              <w:jc w:val="both"/>
              <w:rPr>
                <w:rFonts w:ascii="Aptos" w:hAnsi="Aptos" w:cs="Calibri"/>
                <w:sz w:val="20"/>
                <w:szCs w:val="20"/>
              </w:rPr>
            </w:pPr>
            <w:r w:rsidRPr="00387B16">
              <w:rPr>
                <w:rFonts w:ascii="Aptos" w:hAnsi="Aptos" w:cs="Calibri"/>
                <w:sz w:val="20"/>
                <w:szCs w:val="20"/>
              </w:rPr>
              <w:t>veiller à la mise en œuvre des mesures d’atténuation et autres mesures prévues dans les études d’impact environnemental (EIE), et superviser la réhabilitation des sites de projets conformément aux plans de gestion environnementale ;</w:t>
            </w:r>
          </w:p>
          <w:p w14:paraId="20034BC8" w14:textId="77777777" w:rsidR="003C573C" w:rsidRPr="00387B16" w:rsidRDefault="003C573C" w:rsidP="008B048C">
            <w:pPr>
              <w:numPr>
                <w:ilvl w:val="0"/>
                <w:numId w:val="10"/>
              </w:numPr>
              <w:jc w:val="both"/>
              <w:rPr>
                <w:rFonts w:ascii="Aptos" w:hAnsi="Aptos" w:cs="Calibri"/>
                <w:sz w:val="20"/>
                <w:szCs w:val="20"/>
              </w:rPr>
            </w:pPr>
            <w:r w:rsidRPr="00387B16">
              <w:rPr>
                <w:rFonts w:ascii="Aptos" w:hAnsi="Aptos" w:cs="Calibri"/>
                <w:sz w:val="20"/>
                <w:szCs w:val="20"/>
              </w:rPr>
              <w:t>assurer la fonction régalienne de l’État en matière de contrôle environnemental en pilotant et en suivant les activités de la police de l’environnement, et établir un bilan annuel de ses activités ;</w:t>
            </w:r>
          </w:p>
          <w:p w14:paraId="5623783D" w14:textId="3A1E3E83" w:rsidR="003C573C" w:rsidRPr="00D401FA" w:rsidRDefault="003C573C" w:rsidP="008B048C">
            <w:pPr>
              <w:numPr>
                <w:ilvl w:val="0"/>
                <w:numId w:val="10"/>
              </w:numPr>
              <w:jc w:val="both"/>
              <w:rPr>
                <w:rFonts w:ascii="Aptos" w:hAnsi="Aptos" w:cs="Calibri"/>
              </w:rPr>
            </w:pPr>
            <w:r w:rsidRPr="00387B16">
              <w:rPr>
                <w:rFonts w:ascii="Aptos" w:hAnsi="Aptos" w:cs="Calibri"/>
                <w:sz w:val="20"/>
                <w:szCs w:val="20"/>
              </w:rPr>
              <w:t>etc.</w:t>
            </w:r>
          </w:p>
        </w:tc>
      </w:tr>
    </w:tbl>
    <w:p w14:paraId="625C6763" w14:textId="77777777" w:rsidR="00222656" w:rsidRPr="00D401FA" w:rsidRDefault="00222656" w:rsidP="00216CAF">
      <w:pPr>
        <w:jc w:val="both"/>
        <w:rPr>
          <w:rFonts w:ascii="Aptos" w:hAnsi="Aptos" w:cs="Calibri"/>
        </w:rPr>
      </w:pPr>
    </w:p>
    <w:p w14:paraId="26494A8D" w14:textId="77777777" w:rsidR="00931A3C" w:rsidRPr="00D401FA" w:rsidRDefault="00931A3C" w:rsidP="00216CAF">
      <w:pPr>
        <w:jc w:val="both"/>
        <w:rPr>
          <w:rFonts w:ascii="Aptos" w:hAnsi="Aptos" w:cs="Calibri"/>
          <w:b/>
          <w:bCs/>
        </w:rPr>
      </w:pPr>
      <w:r w:rsidRPr="00D401FA">
        <w:rPr>
          <w:rFonts w:ascii="Aptos" w:hAnsi="Aptos" w:cs="Calibri"/>
          <w:b/>
          <w:bCs/>
        </w:rPr>
        <w:t>Délégations Régionales de l’Environnement (DREV)</w:t>
      </w:r>
    </w:p>
    <w:p w14:paraId="64BDBCC4" w14:textId="77777777" w:rsidR="00931A3C" w:rsidRPr="00D401FA" w:rsidRDefault="00931A3C" w:rsidP="00216CAF">
      <w:pPr>
        <w:jc w:val="both"/>
        <w:rPr>
          <w:rFonts w:ascii="Aptos" w:hAnsi="Aptos" w:cs="Calibri"/>
        </w:rPr>
      </w:pPr>
      <w:r w:rsidRPr="00D401FA">
        <w:rPr>
          <w:rFonts w:ascii="Aptos" w:hAnsi="Aptos" w:cs="Calibri"/>
        </w:rPr>
        <w:t>Dans chaque wilaya, la Délégation régionale, qui comprend deux départements (planification et opérations) ainsi qu’une unité de police de l’environnement, est chargée de la mise en œuvre de la politique environnementale à travers, entre autres, les missions suivantes définies par la loi :</w:t>
      </w:r>
    </w:p>
    <w:p w14:paraId="5DFF9839" w14:textId="77777777" w:rsidR="00931A3C" w:rsidRPr="00D401FA" w:rsidRDefault="00931A3C" w:rsidP="008B048C">
      <w:pPr>
        <w:numPr>
          <w:ilvl w:val="0"/>
          <w:numId w:val="11"/>
        </w:numPr>
        <w:spacing w:after="0"/>
        <w:ind w:left="714" w:hanging="357"/>
        <w:jc w:val="both"/>
        <w:rPr>
          <w:rFonts w:ascii="Aptos" w:hAnsi="Aptos" w:cs="Calibri"/>
        </w:rPr>
      </w:pPr>
      <w:r w:rsidRPr="00D401FA">
        <w:rPr>
          <w:rFonts w:ascii="Aptos" w:hAnsi="Aptos" w:cs="Calibri"/>
        </w:rPr>
        <w:t>représenter l’autorité environnementale de l’État au niveau régional ;</w:t>
      </w:r>
    </w:p>
    <w:p w14:paraId="317FA790" w14:textId="77777777" w:rsidR="00931A3C" w:rsidRPr="00D401FA" w:rsidRDefault="00931A3C" w:rsidP="008B048C">
      <w:pPr>
        <w:numPr>
          <w:ilvl w:val="0"/>
          <w:numId w:val="11"/>
        </w:numPr>
        <w:spacing w:after="0"/>
        <w:ind w:left="714" w:hanging="357"/>
        <w:jc w:val="both"/>
        <w:rPr>
          <w:rFonts w:ascii="Aptos" w:hAnsi="Aptos" w:cs="Calibri"/>
        </w:rPr>
      </w:pPr>
      <w:r w:rsidRPr="00D401FA">
        <w:rPr>
          <w:rFonts w:ascii="Aptos" w:hAnsi="Aptos" w:cs="Calibri"/>
        </w:rPr>
        <w:t>assurer le suivi de la conformité aux recommandations et exigences émises par la DECE à l’issue des opérations de suivi environnemental menées au niveau régional ;</w:t>
      </w:r>
    </w:p>
    <w:p w14:paraId="094C0586" w14:textId="77777777" w:rsidR="00931A3C" w:rsidRPr="00D401FA" w:rsidRDefault="00931A3C" w:rsidP="008B048C">
      <w:pPr>
        <w:numPr>
          <w:ilvl w:val="0"/>
          <w:numId w:val="11"/>
        </w:numPr>
        <w:spacing w:after="0"/>
        <w:ind w:left="714" w:hanging="357"/>
        <w:jc w:val="both"/>
        <w:rPr>
          <w:rFonts w:ascii="Aptos" w:hAnsi="Aptos" w:cs="Calibri"/>
        </w:rPr>
      </w:pPr>
      <w:r w:rsidRPr="00D401FA">
        <w:rPr>
          <w:rFonts w:ascii="Aptos" w:hAnsi="Aptos" w:cs="Calibri"/>
        </w:rPr>
        <w:t>diffuser et assurer le suivi de l’information environnementale au niveau régional ;</w:t>
      </w:r>
    </w:p>
    <w:p w14:paraId="447CA0B9" w14:textId="77777777" w:rsidR="00931A3C" w:rsidRPr="00D401FA" w:rsidRDefault="00931A3C" w:rsidP="008B048C">
      <w:pPr>
        <w:numPr>
          <w:ilvl w:val="0"/>
          <w:numId w:val="11"/>
        </w:numPr>
        <w:spacing w:after="0"/>
        <w:ind w:left="714" w:hanging="357"/>
        <w:jc w:val="both"/>
        <w:rPr>
          <w:rFonts w:ascii="Aptos" w:hAnsi="Aptos" w:cs="Calibri"/>
        </w:rPr>
      </w:pPr>
      <w:r w:rsidRPr="00D401FA">
        <w:rPr>
          <w:rFonts w:ascii="Aptos" w:hAnsi="Aptos" w:cs="Calibri"/>
        </w:rPr>
        <w:t>suivre les indicateurs environnementaux et rendre compte de l’état de l’environnement dans la région ;</w:t>
      </w:r>
    </w:p>
    <w:p w14:paraId="7C2EB823" w14:textId="77777777" w:rsidR="00931A3C" w:rsidRPr="00D401FA" w:rsidRDefault="00931A3C" w:rsidP="008B048C">
      <w:pPr>
        <w:numPr>
          <w:ilvl w:val="0"/>
          <w:numId w:val="11"/>
        </w:numPr>
        <w:spacing w:after="0"/>
        <w:ind w:left="714" w:hanging="357"/>
        <w:jc w:val="both"/>
        <w:rPr>
          <w:rFonts w:ascii="Aptos" w:hAnsi="Aptos" w:cs="Calibri"/>
        </w:rPr>
      </w:pPr>
      <w:r w:rsidRPr="00D401FA">
        <w:rPr>
          <w:rFonts w:ascii="Aptos" w:hAnsi="Aptos" w:cs="Calibri"/>
        </w:rPr>
        <w:t>contribuer au renforcement des capacités des parties prenantes ;</w:t>
      </w:r>
    </w:p>
    <w:p w14:paraId="275B1C3D" w14:textId="77777777" w:rsidR="00931A3C" w:rsidRPr="00D401FA" w:rsidRDefault="00931A3C" w:rsidP="008B048C">
      <w:pPr>
        <w:numPr>
          <w:ilvl w:val="0"/>
          <w:numId w:val="11"/>
        </w:numPr>
        <w:spacing w:after="0"/>
        <w:ind w:left="714" w:hanging="357"/>
        <w:jc w:val="both"/>
        <w:rPr>
          <w:rFonts w:ascii="Aptos" w:hAnsi="Aptos" w:cs="Calibri"/>
        </w:rPr>
      </w:pPr>
      <w:r w:rsidRPr="00D401FA">
        <w:rPr>
          <w:rFonts w:ascii="Aptos" w:hAnsi="Aptos" w:cs="Calibri"/>
        </w:rPr>
        <w:t>coordonner les programmes de sensibilisation, de communication, de formation et de recherche scientifique ;</w:t>
      </w:r>
    </w:p>
    <w:p w14:paraId="6D571E02" w14:textId="77777777" w:rsidR="00931A3C" w:rsidRPr="00D401FA" w:rsidRDefault="00931A3C" w:rsidP="008B048C">
      <w:pPr>
        <w:numPr>
          <w:ilvl w:val="0"/>
          <w:numId w:val="11"/>
        </w:numPr>
        <w:spacing w:after="0"/>
        <w:ind w:left="714" w:hanging="357"/>
        <w:jc w:val="both"/>
        <w:rPr>
          <w:rFonts w:ascii="Aptos" w:hAnsi="Aptos" w:cs="Calibri"/>
        </w:rPr>
      </w:pPr>
      <w:r w:rsidRPr="00D401FA">
        <w:rPr>
          <w:rFonts w:ascii="Aptos" w:hAnsi="Aptos" w:cs="Calibri"/>
        </w:rPr>
        <w:t>etc.</w:t>
      </w:r>
    </w:p>
    <w:p w14:paraId="4227285D" w14:textId="5EC68F16" w:rsidR="00931A3C" w:rsidRPr="00D401FA" w:rsidRDefault="00931A3C" w:rsidP="00216CAF">
      <w:pPr>
        <w:jc w:val="both"/>
        <w:rPr>
          <w:rFonts w:ascii="Aptos" w:hAnsi="Aptos" w:cs="Calibri"/>
        </w:rPr>
      </w:pPr>
    </w:p>
    <w:p w14:paraId="73445884" w14:textId="77777777" w:rsidR="00931A3C" w:rsidRPr="005C4EF8" w:rsidRDefault="00931A3C" w:rsidP="00216CAF">
      <w:pPr>
        <w:jc w:val="both"/>
        <w:rPr>
          <w:rFonts w:ascii="Aptos" w:hAnsi="Aptos" w:cs="Calibri"/>
          <w:b/>
          <w:bCs/>
          <w:i/>
          <w:iCs/>
        </w:rPr>
      </w:pPr>
      <w:r w:rsidRPr="005C4EF8">
        <w:rPr>
          <w:rFonts w:ascii="Aptos" w:hAnsi="Aptos" w:cs="Calibri"/>
          <w:b/>
          <w:bCs/>
          <w:i/>
          <w:iCs/>
        </w:rPr>
        <w:t>Autres instances environnementales</w:t>
      </w:r>
    </w:p>
    <w:p w14:paraId="2004ACE7" w14:textId="77777777" w:rsidR="00931A3C" w:rsidRPr="00D401FA" w:rsidRDefault="00931A3C" w:rsidP="00216CAF">
      <w:pPr>
        <w:jc w:val="both"/>
        <w:rPr>
          <w:rFonts w:ascii="Aptos" w:hAnsi="Aptos" w:cs="Calibri"/>
        </w:rPr>
      </w:pPr>
      <w:r w:rsidRPr="00D401FA">
        <w:rPr>
          <w:rFonts w:ascii="Aptos" w:hAnsi="Aptos" w:cs="Calibri"/>
        </w:rPr>
        <w:t>Trois organes ont été créés par le décret n° 2012-156 du 27 décembre 1995 :</w:t>
      </w:r>
    </w:p>
    <w:p w14:paraId="6E69D196" w14:textId="77777777" w:rsidR="00931A3C" w:rsidRPr="00D401FA" w:rsidRDefault="00931A3C" w:rsidP="008B048C">
      <w:pPr>
        <w:numPr>
          <w:ilvl w:val="0"/>
          <w:numId w:val="12"/>
        </w:numPr>
        <w:spacing w:after="0"/>
        <w:ind w:left="714" w:hanging="357"/>
        <w:jc w:val="both"/>
        <w:rPr>
          <w:rFonts w:ascii="Aptos" w:hAnsi="Aptos" w:cs="Calibri"/>
        </w:rPr>
      </w:pPr>
      <w:r w:rsidRPr="00D401FA">
        <w:rPr>
          <w:rFonts w:ascii="Aptos" w:hAnsi="Aptos" w:cs="Calibri"/>
        </w:rPr>
        <w:t xml:space="preserve">le </w:t>
      </w:r>
      <w:r w:rsidRPr="005C4EF8">
        <w:rPr>
          <w:rFonts w:ascii="Aptos" w:hAnsi="Aptos" w:cs="Calibri"/>
          <w:b/>
          <w:bCs/>
          <w:i/>
          <w:iCs/>
        </w:rPr>
        <w:t>Comité National pour l’Environnement et le Développement (CNED</w:t>
      </w:r>
      <w:r w:rsidRPr="00D401FA">
        <w:rPr>
          <w:rFonts w:ascii="Aptos" w:hAnsi="Aptos" w:cs="Calibri"/>
        </w:rPr>
        <w:t xml:space="preserve">), qui vise à promouvoir le développement durable et à coordonner les efforts en matière d’environnement et de développement. Organe multisectoriel placé sous l’autorité du Premier ministre, il a joué un rôle clé dans la mise en œuvre de la SNEDD à l’horizon 2015. Sa mission consiste à intégrer les principes de durabilité environnementale dans les </w:t>
      </w:r>
      <w:r w:rsidRPr="00D401FA">
        <w:rPr>
          <w:rFonts w:ascii="Aptos" w:hAnsi="Aptos" w:cs="Calibri"/>
        </w:rPr>
        <w:lastRenderedPageBreak/>
        <w:t>politiques de développement du pays, en tenant compte des dimensions sociales, économiques et environnementales ;</w:t>
      </w:r>
    </w:p>
    <w:p w14:paraId="6C9A661E" w14:textId="77777777" w:rsidR="00931A3C" w:rsidRPr="00D401FA" w:rsidRDefault="00931A3C" w:rsidP="008B048C">
      <w:pPr>
        <w:numPr>
          <w:ilvl w:val="0"/>
          <w:numId w:val="12"/>
        </w:numPr>
        <w:spacing w:after="0"/>
        <w:ind w:left="714" w:hanging="357"/>
        <w:jc w:val="both"/>
        <w:rPr>
          <w:rFonts w:ascii="Aptos" w:hAnsi="Aptos" w:cs="Calibri"/>
        </w:rPr>
      </w:pPr>
      <w:r w:rsidRPr="00D401FA">
        <w:rPr>
          <w:rFonts w:ascii="Aptos" w:hAnsi="Aptos" w:cs="Calibri"/>
        </w:rPr>
        <w:t xml:space="preserve">le </w:t>
      </w:r>
      <w:r w:rsidRPr="005C4EF8">
        <w:rPr>
          <w:rFonts w:ascii="Aptos" w:hAnsi="Aptos" w:cs="Calibri"/>
          <w:b/>
          <w:bCs/>
          <w:i/>
          <w:iCs/>
        </w:rPr>
        <w:t>Comité Technique pour l’Environnement et le Développement durable (CTEDD),</w:t>
      </w:r>
      <w:r w:rsidRPr="00D401FA">
        <w:rPr>
          <w:rFonts w:ascii="Aptos" w:hAnsi="Aptos" w:cs="Calibri"/>
        </w:rPr>
        <w:t xml:space="preserve"> présidé par le Ministre, constitue l’organe technique multisectoriel chargé de coordonner les activités de mise en œuvre de la stratégie nationale pour l’environnement (et de son plan d’action) et de partager l’information sur le niveau de réalisation des différents portefeuilles sectoriels et thématiques ;</w:t>
      </w:r>
    </w:p>
    <w:p w14:paraId="7A4C8C33" w14:textId="79136A4D" w:rsidR="00931A3C" w:rsidRPr="00D401FA" w:rsidRDefault="00931A3C" w:rsidP="008B048C">
      <w:pPr>
        <w:numPr>
          <w:ilvl w:val="0"/>
          <w:numId w:val="12"/>
        </w:numPr>
        <w:jc w:val="both"/>
        <w:rPr>
          <w:rFonts w:ascii="Aptos" w:hAnsi="Aptos" w:cs="Calibri"/>
        </w:rPr>
      </w:pPr>
      <w:r w:rsidRPr="00D401FA">
        <w:rPr>
          <w:rFonts w:ascii="Aptos" w:hAnsi="Aptos" w:cs="Calibri"/>
        </w:rPr>
        <w:t xml:space="preserve">le </w:t>
      </w:r>
      <w:r w:rsidRPr="005C4EF8">
        <w:rPr>
          <w:rFonts w:ascii="Aptos" w:hAnsi="Aptos" w:cs="Calibri"/>
          <w:b/>
          <w:bCs/>
          <w:i/>
          <w:iCs/>
        </w:rPr>
        <w:t xml:space="preserve">Conseil Régional pour l’Environnement et le Développement </w:t>
      </w:r>
      <w:r w:rsidR="005C4EF8">
        <w:rPr>
          <w:rFonts w:ascii="Aptos" w:hAnsi="Aptos" w:cs="Calibri"/>
          <w:b/>
          <w:bCs/>
          <w:i/>
          <w:iCs/>
        </w:rPr>
        <w:t>D</w:t>
      </w:r>
      <w:r w:rsidRPr="005C4EF8">
        <w:rPr>
          <w:rFonts w:ascii="Aptos" w:hAnsi="Aptos" w:cs="Calibri"/>
          <w:b/>
          <w:bCs/>
          <w:i/>
          <w:iCs/>
        </w:rPr>
        <w:t>urable (CREDD),</w:t>
      </w:r>
      <w:r w:rsidRPr="00D401FA">
        <w:rPr>
          <w:rFonts w:ascii="Aptos" w:hAnsi="Aptos" w:cs="Calibri"/>
        </w:rPr>
        <w:t xml:space="preserve"> chargé d’assurer la concertation, la coordination et l’appui au niveau local afin de garantir l’articulation harmonieuse entre les niveaux stratégique et opérationnel de la mise en œuvre du plan d’action national pour l’environnement, notamment à travers l’appui à la collecte d’informations, l’analyse de la conformité des dossiers de projets et l’information continue des acteurs au niveau local.</w:t>
      </w:r>
    </w:p>
    <w:p w14:paraId="7D37718B" w14:textId="77777777" w:rsidR="00931A3C" w:rsidRPr="00D401FA" w:rsidRDefault="00931A3C" w:rsidP="00216CAF">
      <w:pPr>
        <w:jc w:val="both"/>
        <w:rPr>
          <w:rFonts w:ascii="Aptos" w:hAnsi="Aptos" w:cs="Calibri"/>
        </w:rPr>
      </w:pPr>
      <w:r w:rsidRPr="00D401FA">
        <w:rPr>
          <w:rFonts w:ascii="Aptos" w:hAnsi="Aptos" w:cs="Calibri"/>
        </w:rPr>
        <w:t xml:space="preserve">La </w:t>
      </w:r>
      <w:r w:rsidRPr="005C4EF8">
        <w:rPr>
          <w:rFonts w:ascii="Aptos" w:hAnsi="Aptos" w:cs="Calibri"/>
          <w:b/>
          <w:bCs/>
          <w:i/>
          <w:iCs/>
        </w:rPr>
        <w:t>Commission Environnementale</w:t>
      </w:r>
      <w:r w:rsidRPr="00D401FA">
        <w:rPr>
          <w:rFonts w:ascii="Aptos" w:hAnsi="Aptos" w:cs="Calibri"/>
        </w:rPr>
        <w:t xml:space="preserve"> est une instance au sein de laquelle l’État et les opérateurs mettent en œuvre leurs engagements et coopèrent activement en faveur de la préservation de l’environnement et de la protection des écosystèmes. Elle est chargée du suivi et de la gestion environnementale, conformément au principe de précaution, des risques environnementaux liés aux activités pétrolières et gazières en Mauritanie, depuis la phase d’exploration jusqu’au démantèlement des installations. Son objectif principal est de garantir une conduite responsable et prudente des activités pétrolières et gazières, contribuant ainsi au développement durable des ressources en hydrocarbures du pays.</w:t>
      </w:r>
    </w:p>
    <w:p w14:paraId="530BD46F" w14:textId="77777777" w:rsidR="00931A3C" w:rsidRDefault="00931A3C" w:rsidP="00216CAF">
      <w:pPr>
        <w:jc w:val="both"/>
        <w:rPr>
          <w:rFonts w:ascii="Aptos" w:hAnsi="Aptos" w:cs="Calibri"/>
        </w:rPr>
      </w:pPr>
      <w:r w:rsidRPr="00D401FA">
        <w:rPr>
          <w:rFonts w:ascii="Aptos" w:hAnsi="Aptos" w:cs="Calibri"/>
        </w:rPr>
        <w:t xml:space="preserve">La </w:t>
      </w:r>
      <w:r w:rsidRPr="005C4EF8">
        <w:rPr>
          <w:rFonts w:ascii="Aptos" w:hAnsi="Aptos" w:cs="Calibri"/>
          <w:b/>
          <w:bCs/>
          <w:i/>
          <w:iCs/>
        </w:rPr>
        <w:t>Direction du Climat</w:t>
      </w:r>
      <w:r w:rsidRPr="00D401FA">
        <w:rPr>
          <w:rFonts w:ascii="Aptos" w:hAnsi="Aptos" w:cs="Calibri"/>
        </w:rPr>
        <w:t>, créée en 2020, joue un rôle clé dans la gestion des enjeux environnementaux. Elle assure le suivi et l’évaluation du changement climatique et élabore des politiques et stratégies pour y faire face. Une Police de l’environnement a été créée en 2022, en tant que service public chargé de lutter contre les infractions aux lois environnementales (voir encadré 3 ci-dessous).</w:t>
      </w:r>
    </w:p>
    <w:p w14:paraId="66B5A718" w14:textId="61D83F80" w:rsidR="005C4EF8" w:rsidRPr="00D401FA" w:rsidRDefault="005C4EF8" w:rsidP="005C4EF8">
      <w:pPr>
        <w:jc w:val="both"/>
        <w:rPr>
          <w:rFonts w:ascii="Aptos" w:hAnsi="Aptos" w:cs="Calibri"/>
        </w:rPr>
      </w:pPr>
      <w:r w:rsidRPr="00D401FA">
        <w:rPr>
          <w:rFonts w:ascii="Aptos" w:hAnsi="Aptos" w:cs="Calibri"/>
          <w:b/>
          <w:bCs/>
        </w:rPr>
        <w:t>Encadré 3 : Police de l’environnement</w:t>
      </w:r>
    </w:p>
    <w:tbl>
      <w:tblPr>
        <w:tblStyle w:val="TableGrid"/>
        <w:tblW w:w="0" w:type="auto"/>
        <w:tblLook w:val="04A0" w:firstRow="1" w:lastRow="0" w:firstColumn="1" w:lastColumn="0" w:noHBand="0" w:noVBand="1"/>
      </w:tblPr>
      <w:tblGrid>
        <w:gridCol w:w="9062"/>
      </w:tblGrid>
      <w:tr w:rsidR="00931A3C" w:rsidRPr="00D401FA" w14:paraId="50781F3F" w14:textId="77777777" w:rsidTr="00F34F90">
        <w:tc>
          <w:tcPr>
            <w:tcW w:w="9062" w:type="dxa"/>
            <w:shd w:val="clear" w:color="auto" w:fill="EDEDED" w:themeFill="accent3" w:themeFillTint="33"/>
          </w:tcPr>
          <w:p w14:paraId="27FE6F26" w14:textId="64EF2D17" w:rsidR="00931A3C" w:rsidRPr="00062A46" w:rsidRDefault="00931A3C" w:rsidP="00216CAF">
            <w:pPr>
              <w:spacing w:after="160" w:line="259" w:lineRule="auto"/>
              <w:jc w:val="both"/>
              <w:rPr>
                <w:rFonts w:ascii="Aptos" w:hAnsi="Aptos" w:cs="Calibri"/>
                <w:sz w:val="20"/>
                <w:szCs w:val="20"/>
              </w:rPr>
            </w:pPr>
            <w:r w:rsidRPr="00062A46">
              <w:rPr>
                <w:rFonts w:ascii="Aptos" w:hAnsi="Aptos" w:cs="Calibri"/>
                <w:sz w:val="20"/>
                <w:szCs w:val="20"/>
              </w:rPr>
              <w:t xml:space="preserve">La Police de l’environnement, créée par décret en 2022, est chargée de veiller à l’application des lois et règlements environnementaux. À ce titre, elle contribue à la santé des populations et au développement économique à long terme. La création de </w:t>
            </w:r>
            <w:r w:rsidR="009A7E7C">
              <w:rPr>
                <w:rFonts w:ascii="Aptos" w:hAnsi="Aptos" w:cs="Calibri"/>
                <w:sz w:val="20"/>
                <w:szCs w:val="20"/>
              </w:rPr>
              <w:t>cet organe</w:t>
            </w:r>
            <w:r w:rsidRPr="00062A46">
              <w:rPr>
                <w:rFonts w:ascii="Aptos" w:hAnsi="Aptos" w:cs="Calibri"/>
                <w:sz w:val="20"/>
                <w:szCs w:val="20"/>
              </w:rPr>
              <w:t xml:space="preserve"> « vise à améliorer la situation environnementale du pays et à réaliser les objectifs de développement durable, notamment ceux liés à la santé, à la biodiversité et au changement climatique ».</w:t>
            </w:r>
          </w:p>
          <w:p w14:paraId="3EA4B9C9" w14:textId="3EE08CC6" w:rsidR="00931A3C" w:rsidRPr="00D401FA" w:rsidRDefault="00931A3C" w:rsidP="00216CAF">
            <w:pPr>
              <w:spacing w:after="160" w:line="259" w:lineRule="auto"/>
              <w:jc w:val="both"/>
              <w:rPr>
                <w:rFonts w:ascii="Aptos" w:hAnsi="Aptos" w:cs="Calibri"/>
              </w:rPr>
            </w:pPr>
            <w:r w:rsidRPr="00062A46">
              <w:rPr>
                <w:rFonts w:ascii="Aptos" w:hAnsi="Aptos" w:cs="Calibri"/>
                <w:sz w:val="20"/>
                <w:szCs w:val="20"/>
              </w:rPr>
              <w:t>En Mauritanie, la mise en place d’une telle police s’est imposée comme une nécessité, au regard d’une situation environnementale préoccupante, caractérisée par le recul des forêts et la dégradation de la biodiversité, phénomènes qui ont un impact réel sur la santé des populations, tandis que l’exploitation des ressources naturelles a des implications pour le développement économique à long terme du pays.</w:t>
            </w:r>
          </w:p>
        </w:tc>
      </w:tr>
    </w:tbl>
    <w:p w14:paraId="0A4CA719" w14:textId="3E8F1018" w:rsidR="00B73151" w:rsidRPr="00D401FA" w:rsidRDefault="00B73151" w:rsidP="00D01A50">
      <w:pPr>
        <w:pStyle w:val="Heading3"/>
      </w:pPr>
      <w:bookmarkStart w:id="70" w:name="_Toc227686319"/>
      <w:bookmarkStart w:id="71" w:name="_Toc227686365"/>
      <w:r w:rsidRPr="00D401FA">
        <w:t>Cadre institutionnel de la gestion sociale</w:t>
      </w:r>
      <w:bookmarkEnd w:id="70"/>
      <w:bookmarkEnd w:id="71"/>
    </w:p>
    <w:p w14:paraId="39B316AA" w14:textId="07C7F485" w:rsidR="00B73151" w:rsidRPr="005C4EF8" w:rsidRDefault="00B73151" w:rsidP="005C4EF8">
      <w:pPr>
        <w:pStyle w:val="Heading4"/>
      </w:pPr>
      <w:r w:rsidRPr="005C4EF8">
        <w:t>Gestion foncière</w:t>
      </w:r>
    </w:p>
    <w:p w14:paraId="26795485" w14:textId="20190DC7" w:rsidR="00B73151" w:rsidRPr="00D401FA" w:rsidRDefault="00B73151" w:rsidP="00216CAF">
      <w:pPr>
        <w:jc w:val="both"/>
        <w:rPr>
          <w:rFonts w:ascii="Aptos" w:hAnsi="Aptos" w:cs="Calibri"/>
        </w:rPr>
      </w:pPr>
      <w:r w:rsidRPr="00D401FA">
        <w:rPr>
          <w:rFonts w:ascii="Aptos" w:hAnsi="Aptos" w:cs="Calibri"/>
        </w:rPr>
        <w:t xml:space="preserve">Plusieurs ministères sont impliqués dans la gestion foncière, notamment les ministères des Finances, de l’Intérieur et de la Décentralisation, de l’Administration </w:t>
      </w:r>
      <w:r w:rsidR="00FD01A6">
        <w:rPr>
          <w:rFonts w:ascii="Aptos" w:hAnsi="Aptos" w:cs="Calibri"/>
        </w:rPr>
        <w:t>T</w:t>
      </w:r>
      <w:r w:rsidRPr="00D401FA">
        <w:rPr>
          <w:rFonts w:ascii="Aptos" w:hAnsi="Aptos" w:cs="Calibri"/>
        </w:rPr>
        <w:t xml:space="preserve">erritoriale, ainsi que de l’Habitat, de l’Urbanisme et de l’Aménagement du </w:t>
      </w:r>
      <w:r w:rsidR="00FD01A6">
        <w:rPr>
          <w:rFonts w:ascii="Aptos" w:hAnsi="Aptos" w:cs="Calibri"/>
        </w:rPr>
        <w:t>T</w:t>
      </w:r>
      <w:r w:rsidRPr="00D401FA">
        <w:rPr>
          <w:rFonts w:ascii="Aptos" w:hAnsi="Aptos" w:cs="Calibri"/>
        </w:rPr>
        <w:t xml:space="preserve">erritoire (voir l’organigramme simplifié du Ministère des Finances à la figure 4). Plusieurs institutions nationales et régionales participent également aux procédures d’expropriation pour cause d’utilité publique. Le décret n° 2010-080 </w:t>
      </w:r>
      <w:r w:rsidRPr="00D401FA">
        <w:rPr>
          <w:rFonts w:ascii="Aptos" w:hAnsi="Aptos" w:cs="Calibri"/>
        </w:rPr>
        <w:lastRenderedPageBreak/>
        <w:t>du 31 mars 2010 définit les organes de gestion du domaine de l’État opérant aux niveaux national et régional.</w:t>
      </w:r>
    </w:p>
    <w:p w14:paraId="17AC4737" w14:textId="77777777" w:rsidR="00B73151" w:rsidRPr="00D401FA" w:rsidRDefault="00B73151" w:rsidP="00216CAF">
      <w:pPr>
        <w:jc w:val="both"/>
        <w:rPr>
          <w:rFonts w:ascii="Aptos" w:hAnsi="Aptos" w:cs="Calibri"/>
          <w:b/>
          <w:bCs/>
        </w:rPr>
      </w:pPr>
      <w:r w:rsidRPr="00D401FA">
        <w:rPr>
          <w:rFonts w:ascii="Aptos" w:hAnsi="Aptos" w:cs="Calibri"/>
          <w:b/>
          <w:bCs/>
        </w:rPr>
        <w:t>(a) Au niveau national</w:t>
      </w:r>
    </w:p>
    <w:p w14:paraId="4734B4BD" w14:textId="334207D4" w:rsidR="00B73151" w:rsidRPr="00D401FA" w:rsidRDefault="00B73151" w:rsidP="00216CAF">
      <w:pPr>
        <w:jc w:val="both"/>
        <w:rPr>
          <w:rFonts w:ascii="Aptos" w:hAnsi="Aptos" w:cs="Calibri"/>
        </w:rPr>
      </w:pPr>
      <w:r w:rsidRPr="00D401FA">
        <w:rPr>
          <w:rFonts w:ascii="Aptos" w:hAnsi="Aptos" w:cs="Calibri"/>
        </w:rPr>
        <w:t xml:space="preserve">La </w:t>
      </w:r>
      <w:r w:rsidRPr="005C4EF8">
        <w:rPr>
          <w:rFonts w:ascii="Aptos" w:hAnsi="Aptos" w:cs="Calibri"/>
          <w:b/>
          <w:bCs/>
          <w:i/>
          <w:iCs/>
        </w:rPr>
        <w:t>Direction Générale des Domaines et du Patrimoine de l’État (DGDPE</w:t>
      </w:r>
      <w:r w:rsidRPr="00D401FA">
        <w:rPr>
          <w:rFonts w:ascii="Aptos" w:hAnsi="Aptos" w:cs="Calibri"/>
        </w:rPr>
        <w:t>), rattachée au Ministère des Finances, est notamment chargée de : la gestion du patrimoine immobilier de l’État</w:t>
      </w:r>
      <w:r w:rsidR="00FD01A6">
        <w:rPr>
          <w:rFonts w:ascii="Aptos" w:hAnsi="Aptos" w:cs="Calibri"/>
        </w:rPr>
        <w:t> </w:t>
      </w:r>
      <w:r w:rsidRPr="00D401FA">
        <w:rPr>
          <w:rFonts w:ascii="Aptos" w:hAnsi="Aptos" w:cs="Calibri"/>
        </w:rPr>
        <w:t>; la gestion des biens meubles et immeubles de l’État ; l’établissement et la gestion du cadastre ; l’application des droits d’enregistrement et de timbre ; la perception des produits et revenus du domaine de l’État ; la conservation foncière, des hypothèques, des dépôts et des séquestres ; la proposition de modifications des textes législatifs ou réglementaires en matière foncière et domaniale ; ainsi que la préparation des actes d’attribution (lettres d’attribution, permis d’occuper, etc.) et la mise à disposition ou le transfert des éléments du patrimoine de l’État.</w:t>
      </w:r>
    </w:p>
    <w:p w14:paraId="4515A2F6" w14:textId="61FFE6C6" w:rsidR="005C4EF8" w:rsidRDefault="00B73151" w:rsidP="00216CAF">
      <w:pPr>
        <w:jc w:val="both"/>
        <w:rPr>
          <w:rFonts w:ascii="Aptos" w:hAnsi="Aptos" w:cs="Calibri"/>
          <w:b/>
          <w:bCs/>
        </w:rPr>
      </w:pPr>
      <w:r w:rsidRPr="00D401FA">
        <w:rPr>
          <w:rFonts w:ascii="Aptos" w:hAnsi="Aptos" w:cs="Calibri"/>
          <w:b/>
          <w:bCs/>
        </w:rPr>
        <w:t>Figure 4 : Organigramme simplifié du Ministère des Finances</w:t>
      </w:r>
    </w:p>
    <w:p w14:paraId="4C06937F" w14:textId="6D34B1DF" w:rsidR="00B73151" w:rsidRPr="005C4EF8" w:rsidRDefault="005C4EF8" w:rsidP="00216CAF">
      <w:pPr>
        <w:jc w:val="both"/>
        <w:rPr>
          <w:rFonts w:ascii="Aptos" w:hAnsi="Aptos" w:cs="Calibri"/>
          <w:i/>
          <w:iCs/>
        </w:rPr>
      </w:pPr>
      <w:r w:rsidRPr="00C07AB1">
        <w:rPr>
          <w:rFonts w:cs="Calibri"/>
          <w:noProof/>
          <w:kern w:val="0"/>
        </w:rPr>
        <w:drawing>
          <wp:inline distT="0" distB="0" distL="0" distR="0" wp14:anchorId="1998ACD4" wp14:editId="6C9707E9">
            <wp:extent cx="4119784" cy="4148920"/>
            <wp:effectExtent l="0" t="0" r="0" b="4445"/>
            <wp:docPr id="1053564037" name="Image 1" descr="An image containing Text, Screenshot, Font, Paralle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64037" name="Image 1" descr="Une image contenant texte, capture d’écran, Police, Parallèle&#10;&#10;Description générée automatiquement"/>
                    <pic:cNvPicPr/>
                  </pic:nvPicPr>
                  <pic:blipFill>
                    <a:blip r:embed="rId13"/>
                    <a:stretch>
                      <a:fillRect/>
                    </a:stretch>
                  </pic:blipFill>
                  <pic:spPr>
                    <a:xfrm>
                      <a:off x="0" y="0"/>
                      <a:ext cx="4124926" cy="4154098"/>
                    </a:xfrm>
                    <a:prstGeom prst="rect">
                      <a:avLst/>
                    </a:prstGeom>
                  </pic:spPr>
                </pic:pic>
              </a:graphicData>
            </a:graphic>
          </wp:inline>
        </w:drawing>
      </w:r>
      <w:r w:rsidR="00B73151" w:rsidRPr="00D401FA">
        <w:rPr>
          <w:rFonts w:ascii="Aptos" w:hAnsi="Aptos" w:cs="Calibri"/>
        </w:rPr>
        <w:br/>
      </w:r>
      <w:r w:rsidR="00B73151" w:rsidRPr="005C4EF8">
        <w:rPr>
          <w:rFonts w:ascii="Aptos" w:hAnsi="Aptos" w:cs="Calibri"/>
          <w:i/>
          <w:iCs/>
        </w:rPr>
        <w:t>(Organigramme élaboré sur la base du décret n° 349-2019 du 9 septembre 2019)</w:t>
      </w:r>
    </w:p>
    <w:p w14:paraId="33554B00" w14:textId="650AF0F9" w:rsidR="00B73151" w:rsidRPr="00D401FA" w:rsidRDefault="00B73151" w:rsidP="00216CAF">
      <w:pPr>
        <w:jc w:val="both"/>
        <w:rPr>
          <w:rFonts w:ascii="Aptos" w:hAnsi="Aptos" w:cs="Calibri"/>
        </w:rPr>
      </w:pPr>
      <w:r w:rsidRPr="00D401FA">
        <w:rPr>
          <w:rFonts w:ascii="Aptos" w:hAnsi="Aptos" w:cs="Calibri"/>
        </w:rPr>
        <w:t xml:space="preserve">Au sein de la Direction Générale des Domaines et du Patrimoine de l’État (DGDPE), la </w:t>
      </w:r>
      <w:r w:rsidRPr="005C4EF8">
        <w:rPr>
          <w:rFonts w:ascii="Aptos" w:hAnsi="Aptos" w:cs="Calibri"/>
          <w:b/>
          <w:bCs/>
          <w:i/>
          <w:iCs/>
        </w:rPr>
        <w:t xml:space="preserve">Direction des Domaines </w:t>
      </w:r>
      <w:r w:rsidRPr="00D401FA">
        <w:rPr>
          <w:rFonts w:ascii="Aptos" w:hAnsi="Aptos" w:cs="Calibri"/>
        </w:rPr>
        <w:t xml:space="preserve">(DD) est chargée de la gestion du domaine foncier non bâti de l’État, de l’administration du cadastre, de l’application des droits d’enregistrement et de timbre, de la perception des redevances liées à l’exploitation du domaine public, ainsi que du recouvrement des produits et revenus issus des concessions et cessions du domaine privé de l’État. Elle assure également la conservation foncière, des hypothèques, des dépôts et des séquestres. Elle comprend notamment les services du Cadastre, des Affaires </w:t>
      </w:r>
      <w:r w:rsidR="00FD01A6">
        <w:rPr>
          <w:rFonts w:ascii="Aptos" w:hAnsi="Aptos" w:cs="Calibri"/>
        </w:rPr>
        <w:t>D</w:t>
      </w:r>
      <w:r w:rsidRPr="00D401FA">
        <w:rPr>
          <w:rFonts w:ascii="Aptos" w:hAnsi="Aptos" w:cs="Calibri"/>
        </w:rPr>
        <w:t xml:space="preserve">omaniales, de la Conservation </w:t>
      </w:r>
      <w:r w:rsidR="00FD01A6">
        <w:rPr>
          <w:rFonts w:ascii="Aptos" w:hAnsi="Aptos" w:cs="Calibri"/>
        </w:rPr>
        <w:t>F</w:t>
      </w:r>
      <w:r w:rsidRPr="00D401FA">
        <w:rPr>
          <w:rFonts w:ascii="Aptos" w:hAnsi="Aptos" w:cs="Calibri"/>
        </w:rPr>
        <w:t xml:space="preserve">oncière et des Affaires </w:t>
      </w:r>
      <w:r w:rsidR="00FD01A6">
        <w:rPr>
          <w:rFonts w:ascii="Aptos" w:hAnsi="Aptos" w:cs="Calibri"/>
        </w:rPr>
        <w:t>J</w:t>
      </w:r>
      <w:r w:rsidRPr="00D401FA">
        <w:rPr>
          <w:rFonts w:ascii="Aptos" w:hAnsi="Aptos" w:cs="Calibri"/>
        </w:rPr>
        <w:t>uridiques.</w:t>
      </w:r>
    </w:p>
    <w:p w14:paraId="6A2B0D00" w14:textId="77777777" w:rsidR="00B73151" w:rsidRPr="00D401FA" w:rsidRDefault="00B73151" w:rsidP="00216CAF">
      <w:pPr>
        <w:jc w:val="both"/>
        <w:rPr>
          <w:rFonts w:ascii="Aptos" w:hAnsi="Aptos" w:cs="Calibri"/>
        </w:rPr>
      </w:pPr>
      <w:r w:rsidRPr="00D401FA">
        <w:rPr>
          <w:rFonts w:ascii="Aptos" w:hAnsi="Aptos" w:cs="Calibri"/>
        </w:rPr>
        <w:lastRenderedPageBreak/>
        <w:t>Conformément au décret n° 2010-080 du 31 mars 2010, plusieurs organes sont chargés de la gestion du domaine public en milieu rural, notamment : un Comité Interministériel des Affaires Foncières, un Comité Technique de Suivi des Affaires Foncières, une Commission Nationale de Prévention et d’Arbitrage des Conflits Fonciers Collectifs, ainsi qu’une Commission Nationale d’Examen des Demandes de Concessions Rurales.</w:t>
      </w:r>
    </w:p>
    <w:p w14:paraId="109E9637" w14:textId="77777777" w:rsidR="00B73151" w:rsidRPr="00D401FA" w:rsidRDefault="00B73151" w:rsidP="00216CAF">
      <w:pPr>
        <w:jc w:val="both"/>
        <w:rPr>
          <w:rFonts w:ascii="Aptos" w:hAnsi="Aptos" w:cs="Calibri"/>
        </w:rPr>
      </w:pPr>
      <w:r w:rsidRPr="00D401FA">
        <w:rPr>
          <w:rFonts w:ascii="Aptos" w:hAnsi="Aptos" w:cs="Calibri"/>
        </w:rPr>
        <w:t xml:space="preserve">Au sein du Ministère des Finances, la DGDPE et le </w:t>
      </w:r>
      <w:r w:rsidRPr="005C4EF8">
        <w:rPr>
          <w:rFonts w:ascii="Aptos" w:hAnsi="Aptos" w:cs="Calibri"/>
          <w:b/>
          <w:bCs/>
          <w:i/>
          <w:iCs/>
        </w:rPr>
        <w:t>Comité Technique National des Affaires Foncières</w:t>
      </w:r>
      <w:r w:rsidRPr="00D401FA">
        <w:rPr>
          <w:rFonts w:ascii="Aptos" w:hAnsi="Aptos" w:cs="Calibri"/>
        </w:rPr>
        <w:t>, présidé par le Directeur de la DGDPE, sont chargés d’étudier et de proposer des mesures appropriées au Comité Interministériel des Affaires Foncières, notamment en vue de proposer des innovations en matière de réglementation et de modalités de mise en œuvre des politiques foncières. Le décret n° 2010-080 du 31 mars 2010, qui a institué ce comité, ne précise pas les modalités d’intégration des communautés affectées par les projets en son sein. La DGDPE et le comité technique constituent les pièces maîtresses des différentes commissions intervenant dans le domaine de la réinstallation. À ce titre, ils participent notamment aux travaux des commissions (aux niveaux central, régional et départemental) chargées d’adopter des barèmes d’indemnisation en l’absence de référentiels fixés par la législation, selon les catégories de réinstallation et d’indemnisation.</w:t>
      </w:r>
    </w:p>
    <w:p w14:paraId="2EF56DF6" w14:textId="1D57B861" w:rsidR="00B73151" w:rsidRPr="00D401FA" w:rsidRDefault="00B73151" w:rsidP="00216CAF">
      <w:pPr>
        <w:jc w:val="both"/>
        <w:rPr>
          <w:rFonts w:ascii="Aptos" w:hAnsi="Aptos" w:cs="Calibri"/>
        </w:rPr>
      </w:pPr>
      <w:r w:rsidRPr="00D401FA">
        <w:rPr>
          <w:rFonts w:ascii="Aptos" w:hAnsi="Aptos" w:cs="Calibri"/>
        </w:rPr>
        <w:t xml:space="preserve">Au niveau national, la </w:t>
      </w:r>
      <w:r w:rsidRPr="005C4EF8">
        <w:rPr>
          <w:rFonts w:ascii="Aptos" w:hAnsi="Aptos" w:cs="Calibri"/>
          <w:b/>
          <w:bCs/>
          <w:i/>
          <w:iCs/>
        </w:rPr>
        <w:t>Commission Nationale de Prévention et d’Arbitrage des Conflits Fonciers Collectif</w:t>
      </w:r>
      <w:r w:rsidRPr="008629DF">
        <w:rPr>
          <w:rFonts w:ascii="Aptos" w:hAnsi="Aptos" w:cs="Calibri"/>
          <w:b/>
          <w:bCs/>
          <w:i/>
          <w:iCs/>
        </w:rPr>
        <w:t>s</w:t>
      </w:r>
      <w:r w:rsidRPr="00D401FA">
        <w:rPr>
          <w:rFonts w:ascii="Aptos" w:hAnsi="Aptos" w:cs="Calibri"/>
        </w:rPr>
        <w:t>, présidée par le responsable de la révision du plan foncier au Ministère de l’Intérieur, est chargée d’arbitrer les conflits fonciers collectifs. Cependant, elle ne peut être saisie que des litiges transmis par le Comité Interministériel des Affaires Foncières et ayant fait l’objet d’un examen préalable aux niveaux infranationaux. Ces organes</w:t>
      </w:r>
      <w:r w:rsidR="008629DF">
        <w:rPr>
          <w:rFonts w:ascii="Aptos" w:hAnsi="Aptos" w:cs="Calibri"/>
        </w:rPr>
        <w:t xml:space="preserve"> (et d’autres)</w:t>
      </w:r>
      <w:r w:rsidRPr="00D401FA">
        <w:rPr>
          <w:rFonts w:ascii="Aptos" w:hAnsi="Aptos" w:cs="Calibri"/>
        </w:rPr>
        <w:t xml:space="preserve"> sont notamment chargés de l’attribution des terres collectives et des indemnisations foncières. Le décret n° 2010-080 du 31 mars 2010 ne précise pas non plus les modalités d’intégration des communautés affectées par les projets au sein de cette commission.</w:t>
      </w:r>
    </w:p>
    <w:p w14:paraId="18882FC4" w14:textId="77777777" w:rsidR="00B73151" w:rsidRPr="00D401FA" w:rsidRDefault="00B73151" w:rsidP="00216CAF">
      <w:pPr>
        <w:jc w:val="both"/>
        <w:rPr>
          <w:rFonts w:ascii="Aptos" w:hAnsi="Aptos" w:cs="Calibri"/>
        </w:rPr>
      </w:pPr>
      <w:r w:rsidRPr="00D401FA">
        <w:rPr>
          <w:rFonts w:ascii="Aptos" w:hAnsi="Aptos" w:cs="Calibri"/>
        </w:rPr>
        <w:t xml:space="preserve">La </w:t>
      </w:r>
      <w:r w:rsidRPr="005C4EF8">
        <w:rPr>
          <w:rFonts w:ascii="Aptos" w:hAnsi="Aptos" w:cs="Calibri"/>
          <w:b/>
          <w:bCs/>
          <w:i/>
          <w:iCs/>
        </w:rPr>
        <w:t>Commission Nationale d’Examen des Demandes de Concessions Rurales</w:t>
      </w:r>
      <w:r w:rsidRPr="00D401FA">
        <w:rPr>
          <w:rFonts w:ascii="Aptos" w:hAnsi="Aptos" w:cs="Calibri"/>
        </w:rPr>
        <w:t>, présidée par le Directeur Général des Domaines et du Patrimoine de l’État, est habilitée à émettre un avis à l’attention du Ministre des Finances ou du Conseil des ministres sur l’attribution des concessions domaniales. Les modalités de fonctionnement de cette commission sont fixées par arrêté conjoint des Ministres de l’Intérieur et des Finances.</w:t>
      </w:r>
    </w:p>
    <w:p w14:paraId="552ED25B" w14:textId="77777777" w:rsidR="00542E16" w:rsidRPr="00D401FA" w:rsidRDefault="00542E16" w:rsidP="00216CAF">
      <w:pPr>
        <w:jc w:val="both"/>
        <w:rPr>
          <w:rFonts w:ascii="Aptos" w:hAnsi="Aptos" w:cs="Calibri"/>
          <w:b/>
          <w:bCs/>
        </w:rPr>
      </w:pPr>
      <w:r w:rsidRPr="00D401FA">
        <w:rPr>
          <w:rFonts w:ascii="Aptos" w:hAnsi="Aptos" w:cs="Calibri"/>
          <w:b/>
          <w:bCs/>
        </w:rPr>
        <w:t>b) Au niveau régional (wilaya)</w:t>
      </w:r>
    </w:p>
    <w:p w14:paraId="0048DBBB" w14:textId="77777777" w:rsidR="00542E16" w:rsidRPr="00D401FA" w:rsidRDefault="00542E16" w:rsidP="00216CAF">
      <w:pPr>
        <w:jc w:val="both"/>
        <w:rPr>
          <w:rFonts w:ascii="Aptos" w:hAnsi="Aptos" w:cs="Calibri"/>
        </w:rPr>
      </w:pPr>
      <w:r w:rsidRPr="00D401FA">
        <w:rPr>
          <w:rFonts w:ascii="Aptos" w:hAnsi="Aptos" w:cs="Calibri"/>
        </w:rPr>
        <w:t xml:space="preserve">La </w:t>
      </w:r>
      <w:r w:rsidRPr="005C4EF8">
        <w:rPr>
          <w:rFonts w:ascii="Aptos" w:hAnsi="Aptos" w:cs="Calibri"/>
          <w:b/>
          <w:bCs/>
          <w:i/>
          <w:iCs/>
        </w:rPr>
        <w:t>Commission Régionale d’Arbitrage des Conflits Fonciers Collectifs</w:t>
      </w:r>
      <w:r w:rsidRPr="00D401FA">
        <w:rPr>
          <w:rFonts w:ascii="Aptos" w:hAnsi="Aptos" w:cs="Calibri"/>
        </w:rPr>
        <w:t xml:space="preserve">, présidée par le Wali (Gouverneur), constitue l’organe d’arbitrage et de gestion collégiale des conflits fonciers collectifs, conformément aux dispositions du décret n° 2010-080 du 31 mars 2010. Elle est composée des personnes suivantes : le Représentant régional de la Direction Générale des Domaines et du Patrimoine de l’État ; le Représentant régional du Ministère de l’Urbanisme ; le Délégué régional du Ministère du Développement rural ; le Représentant régional de l’Environnement ; le Chef du Bureau foncier régional ; le Chef du Service des Affaires foncières de la </w:t>
      </w:r>
      <w:proofErr w:type="spellStart"/>
      <w:r w:rsidRPr="00D401FA">
        <w:rPr>
          <w:rFonts w:ascii="Aptos" w:hAnsi="Aptos" w:cs="Calibri"/>
        </w:rPr>
        <w:t>moughataa</w:t>
      </w:r>
      <w:proofErr w:type="spellEnd"/>
      <w:r w:rsidRPr="00D401FA">
        <w:rPr>
          <w:rFonts w:ascii="Aptos" w:hAnsi="Aptos" w:cs="Calibri"/>
        </w:rPr>
        <w:t xml:space="preserve"> ; deux représentants des agriculteurs et des éleveurs désignés par arrêté du Wali sur proposition du Hakem ; deux personnalités reconnues pour leur intégrité morale, nommées par le Ministre de l’Intérieur sur proposition du Wali.</w:t>
      </w:r>
    </w:p>
    <w:p w14:paraId="6DE18310" w14:textId="77777777" w:rsidR="00542E16" w:rsidRPr="00D401FA" w:rsidRDefault="00542E16" w:rsidP="00216CAF">
      <w:pPr>
        <w:jc w:val="both"/>
        <w:rPr>
          <w:rFonts w:ascii="Aptos" w:hAnsi="Aptos" w:cs="Calibri"/>
          <w:b/>
          <w:bCs/>
        </w:rPr>
      </w:pPr>
      <w:r w:rsidRPr="00D401FA">
        <w:rPr>
          <w:rFonts w:ascii="Aptos" w:hAnsi="Aptos" w:cs="Calibri"/>
          <w:b/>
          <w:bCs/>
        </w:rPr>
        <w:t>c) Au niveau départemental (</w:t>
      </w:r>
      <w:proofErr w:type="spellStart"/>
      <w:r w:rsidRPr="00D401FA">
        <w:rPr>
          <w:rFonts w:ascii="Aptos" w:hAnsi="Aptos" w:cs="Calibri"/>
          <w:b/>
          <w:bCs/>
        </w:rPr>
        <w:t>moughataa</w:t>
      </w:r>
      <w:proofErr w:type="spellEnd"/>
      <w:r w:rsidRPr="00D401FA">
        <w:rPr>
          <w:rFonts w:ascii="Aptos" w:hAnsi="Aptos" w:cs="Calibri"/>
          <w:b/>
          <w:bCs/>
        </w:rPr>
        <w:t>)</w:t>
      </w:r>
    </w:p>
    <w:p w14:paraId="7F6DF4D4" w14:textId="2A0ECC6E" w:rsidR="00542E16" w:rsidRPr="00D401FA" w:rsidRDefault="00542E16" w:rsidP="00216CAF">
      <w:pPr>
        <w:jc w:val="both"/>
        <w:rPr>
          <w:rFonts w:ascii="Aptos" w:hAnsi="Aptos" w:cs="Calibri"/>
        </w:rPr>
      </w:pPr>
      <w:r w:rsidRPr="00D401FA">
        <w:rPr>
          <w:rFonts w:ascii="Aptos" w:hAnsi="Aptos" w:cs="Calibri"/>
        </w:rPr>
        <w:t xml:space="preserve">La </w:t>
      </w:r>
      <w:r w:rsidRPr="005C4EF8">
        <w:rPr>
          <w:rFonts w:ascii="Aptos" w:hAnsi="Aptos" w:cs="Calibri"/>
          <w:b/>
          <w:bCs/>
          <w:i/>
          <w:iCs/>
        </w:rPr>
        <w:t>Commission Locale d’Arbitrage des Conflits Fonciers Collectifs</w:t>
      </w:r>
      <w:r w:rsidRPr="00D401FA">
        <w:rPr>
          <w:rFonts w:ascii="Aptos" w:hAnsi="Aptos" w:cs="Calibri"/>
        </w:rPr>
        <w:t xml:space="preserve"> est présidée par le Hakem (préfet) et comprend les maires ainsi que des représentants de plusieurs acteurs locaux. Elle est composée des personnes suivantes : l’Inspecteur du Ministère du Développement </w:t>
      </w:r>
      <w:r w:rsidR="00E644ED">
        <w:rPr>
          <w:rFonts w:ascii="Aptos" w:hAnsi="Aptos" w:cs="Calibri"/>
        </w:rPr>
        <w:t>R</w:t>
      </w:r>
      <w:r w:rsidRPr="00D401FA">
        <w:rPr>
          <w:rFonts w:ascii="Aptos" w:hAnsi="Aptos" w:cs="Calibri"/>
        </w:rPr>
        <w:t xml:space="preserve">ural ; le </w:t>
      </w:r>
      <w:r w:rsidRPr="00D401FA">
        <w:rPr>
          <w:rFonts w:ascii="Aptos" w:hAnsi="Aptos" w:cs="Calibri"/>
        </w:rPr>
        <w:lastRenderedPageBreak/>
        <w:t xml:space="preserve">Représentant de l’Environnement ; le Percepteur de la </w:t>
      </w:r>
      <w:proofErr w:type="spellStart"/>
      <w:r w:rsidRPr="00D401FA">
        <w:rPr>
          <w:rFonts w:ascii="Aptos" w:hAnsi="Aptos" w:cs="Calibri"/>
        </w:rPr>
        <w:t>moughataa</w:t>
      </w:r>
      <w:proofErr w:type="spellEnd"/>
      <w:r w:rsidRPr="00D401FA">
        <w:rPr>
          <w:rFonts w:ascii="Aptos" w:hAnsi="Aptos" w:cs="Calibri"/>
        </w:rPr>
        <w:t xml:space="preserve"> ; le Représentant du Ministère du Développement </w:t>
      </w:r>
      <w:r w:rsidR="00E644ED">
        <w:rPr>
          <w:rFonts w:ascii="Aptos" w:hAnsi="Aptos" w:cs="Calibri"/>
        </w:rPr>
        <w:t>R</w:t>
      </w:r>
      <w:r w:rsidRPr="00D401FA">
        <w:rPr>
          <w:rFonts w:ascii="Aptos" w:hAnsi="Aptos" w:cs="Calibri"/>
        </w:rPr>
        <w:t xml:space="preserve">ural ; le Bureau régional de la Direction Générale des Domaines et du Patrimoine de l’État ; le Représentant du Ministère de l’Urbanisme ; le Chef du Service des Affaires foncières de la </w:t>
      </w:r>
      <w:proofErr w:type="spellStart"/>
      <w:r w:rsidRPr="00D401FA">
        <w:rPr>
          <w:rFonts w:ascii="Aptos" w:hAnsi="Aptos" w:cs="Calibri"/>
        </w:rPr>
        <w:t>moughataa</w:t>
      </w:r>
      <w:proofErr w:type="spellEnd"/>
      <w:r w:rsidRPr="00D401FA">
        <w:rPr>
          <w:rFonts w:ascii="Aptos" w:hAnsi="Aptos" w:cs="Calibri"/>
        </w:rPr>
        <w:t xml:space="preserve"> concernée ; ainsi que des représentants des agriculteurs et des éleveurs désignés par arrêté du Wali sur proposition du Hakem ; deux personnalités reconnues pour leur intégrité morale, nommées par le Ministre de l’Intérieur sur proposition du Wali. Il est prévu que la commission soit renforcée par un expert en genre.</w:t>
      </w:r>
    </w:p>
    <w:p w14:paraId="685400F7" w14:textId="6DE56093" w:rsidR="00542E16" w:rsidRPr="00D401FA" w:rsidRDefault="00542E16" w:rsidP="005C4EF8">
      <w:pPr>
        <w:pStyle w:val="Heading4"/>
      </w:pPr>
      <w:r w:rsidRPr="00D401FA">
        <w:t>Politique de décentralisation : collectivités territoriales</w:t>
      </w:r>
    </w:p>
    <w:p w14:paraId="79B5EFA0" w14:textId="77777777" w:rsidR="00542E16" w:rsidRPr="00D401FA" w:rsidRDefault="00542E16" w:rsidP="00216CAF">
      <w:pPr>
        <w:jc w:val="both"/>
        <w:rPr>
          <w:rFonts w:ascii="Aptos" w:hAnsi="Aptos" w:cs="Calibri"/>
        </w:rPr>
      </w:pPr>
      <w:r w:rsidRPr="00D401FA">
        <w:rPr>
          <w:rFonts w:ascii="Aptos" w:hAnsi="Aptos" w:cs="Calibri"/>
        </w:rPr>
        <w:t>Dans le cadre de la politique de décentralisation, plusieurs textes législatifs confèrent des responsabilités aux collectivités territoriales en matière de gestion de l’environnement. À ce titre, celles-ci se voient notamment attribuer les compétences suivantes :</w:t>
      </w:r>
    </w:p>
    <w:p w14:paraId="53B6BC8B" w14:textId="77777777" w:rsidR="00542E16" w:rsidRPr="00D401FA" w:rsidRDefault="00542E16" w:rsidP="008B048C">
      <w:pPr>
        <w:numPr>
          <w:ilvl w:val="0"/>
          <w:numId w:val="13"/>
        </w:numPr>
        <w:spacing w:after="0"/>
        <w:ind w:left="714" w:hanging="357"/>
        <w:jc w:val="both"/>
        <w:rPr>
          <w:rFonts w:ascii="Aptos" w:hAnsi="Aptos" w:cs="Calibri"/>
        </w:rPr>
      </w:pPr>
      <w:r w:rsidRPr="00D401FA">
        <w:rPr>
          <w:rFonts w:ascii="Aptos" w:hAnsi="Aptos" w:cs="Calibri"/>
        </w:rPr>
        <w:t xml:space="preserve">lutte </w:t>
      </w:r>
      <w:proofErr w:type="spellStart"/>
      <w:r w:rsidRPr="00D401FA">
        <w:rPr>
          <w:rFonts w:ascii="Aptos" w:hAnsi="Aptos" w:cs="Calibri"/>
        </w:rPr>
        <w:t>anti-vectorielle</w:t>
      </w:r>
      <w:proofErr w:type="spellEnd"/>
      <w:r w:rsidRPr="00D401FA">
        <w:rPr>
          <w:rFonts w:ascii="Aptos" w:hAnsi="Aptos" w:cs="Calibri"/>
        </w:rPr>
        <w:t>, notamment contre les nuisibles sous toutes leurs formes ;</w:t>
      </w:r>
    </w:p>
    <w:p w14:paraId="246BFE3C" w14:textId="77777777" w:rsidR="00542E16" w:rsidRPr="00D401FA" w:rsidRDefault="00542E16" w:rsidP="008B048C">
      <w:pPr>
        <w:numPr>
          <w:ilvl w:val="0"/>
          <w:numId w:val="13"/>
        </w:numPr>
        <w:spacing w:after="0"/>
        <w:ind w:left="714" w:hanging="357"/>
        <w:jc w:val="both"/>
        <w:rPr>
          <w:rFonts w:ascii="Aptos" w:hAnsi="Aptos" w:cs="Calibri"/>
        </w:rPr>
      </w:pPr>
      <w:r w:rsidRPr="00D401FA">
        <w:rPr>
          <w:rFonts w:ascii="Aptos" w:hAnsi="Aptos" w:cs="Calibri"/>
        </w:rPr>
        <w:t>protection des sites classés situés sur leur territoire ainsi que des monuments ;</w:t>
      </w:r>
    </w:p>
    <w:p w14:paraId="5E050030" w14:textId="77777777" w:rsidR="00542E16" w:rsidRPr="00D401FA" w:rsidRDefault="00542E16" w:rsidP="008B048C">
      <w:pPr>
        <w:numPr>
          <w:ilvl w:val="0"/>
          <w:numId w:val="13"/>
        </w:numPr>
        <w:spacing w:after="0"/>
        <w:ind w:left="714" w:hanging="357"/>
        <w:jc w:val="both"/>
        <w:rPr>
          <w:rFonts w:ascii="Aptos" w:hAnsi="Aptos" w:cs="Calibri"/>
        </w:rPr>
      </w:pPr>
      <w:r w:rsidRPr="00D401FA">
        <w:rPr>
          <w:rFonts w:ascii="Aptos" w:hAnsi="Aptos" w:cs="Calibri"/>
        </w:rPr>
        <w:t>sensibilisation des populations aux enjeux de santé environnementale ;</w:t>
      </w:r>
    </w:p>
    <w:p w14:paraId="00E51AB7" w14:textId="1DE479B7" w:rsidR="00542E16" w:rsidRPr="00D401FA" w:rsidRDefault="00542E16" w:rsidP="008B048C">
      <w:pPr>
        <w:numPr>
          <w:ilvl w:val="0"/>
          <w:numId w:val="13"/>
        </w:numPr>
        <w:spacing w:after="0"/>
        <w:ind w:left="714" w:hanging="357"/>
        <w:jc w:val="both"/>
        <w:rPr>
          <w:rFonts w:ascii="Aptos" w:hAnsi="Aptos" w:cs="Calibri"/>
        </w:rPr>
      </w:pPr>
      <w:r w:rsidRPr="00D401FA">
        <w:rPr>
          <w:rFonts w:ascii="Aptos" w:hAnsi="Aptos" w:cs="Calibri"/>
        </w:rPr>
        <w:t>délivrance des autorisations d’exploitation et contrôle des établissements dangereux, insalubres ou incommodes ;</w:t>
      </w:r>
    </w:p>
    <w:p w14:paraId="703E99D2" w14:textId="77777777" w:rsidR="00542E16" w:rsidRPr="00D401FA" w:rsidRDefault="00542E16" w:rsidP="008B048C">
      <w:pPr>
        <w:numPr>
          <w:ilvl w:val="0"/>
          <w:numId w:val="13"/>
        </w:numPr>
        <w:spacing w:after="0"/>
        <w:ind w:left="714" w:hanging="357"/>
        <w:jc w:val="both"/>
        <w:rPr>
          <w:rFonts w:ascii="Aptos" w:hAnsi="Aptos" w:cs="Calibri"/>
        </w:rPr>
      </w:pPr>
      <w:r w:rsidRPr="00D401FA">
        <w:rPr>
          <w:rFonts w:ascii="Aptos" w:hAnsi="Aptos" w:cs="Calibri"/>
        </w:rPr>
        <w:t>drainage et entretien des collecteurs d’eaux usées et des réseaux d’assainissement ;</w:t>
      </w:r>
    </w:p>
    <w:p w14:paraId="2CA00819" w14:textId="77777777" w:rsidR="00542E16" w:rsidRPr="00D401FA" w:rsidRDefault="00542E16" w:rsidP="008B048C">
      <w:pPr>
        <w:numPr>
          <w:ilvl w:val="0"/>
          <w:numId w:val="13"/>
        </w:numPr>
        <w:ind w:left="714" w:hanging="357"/>
        <w:jc w:val="both"/>
        <w:rPr>
          <w:rFonts w:ascii="Aptos" w:hAnsi="Aptos" w:cs="Calibri"/>
        </w:rPr>
      </w:pPr>
      <w:r w:rsidRPr="00D401FA">
        <w:rPr>
          <w:rFonts w:ascii="Aptos" w:hAnsi="Aptos" w:cs="Calibri"/>
        </w:rPr>
        <w:t>nettoyage, collecte et élimination des déchets ménagers et assimilés (voir encadré 3 ci-dessous).</w:t>
      </w:r>
    </w:p>
    <w:p w14:paraId="12638160" w14:textId="77777777" w:rsidR="00542E16" w:rsidRDefault="00542E16" w:rsidP="00216CAF">
      <w:pPr>
        <w:jc w:val="both"/>
        <w:rPr>
          <w:rFonts w:ascii="Aptos" w:hAnsi="Aptos" w:cs="Calibri"/>
        </w:rPr>
      </w:pPr>
      <w:r w:rsidRPr="00D401FA">
        <w:rPr>
          <w:rFonts w:ascii="Aptos" w:hAnsi="Aptos" w:cs="Calibri"/>
        </w:rPr>
        <w:t>En matière foncière, le maire d’une commune est membre de la Commission Locale de Prévention et d’Arbitrage des Conflits Fonciers Collectifs (présidée par le Hakem).</w:t>
      </w:r>
    </w:p>
    <w:p w14:paraId="5F84564F" w14:textId="77777777" w:rsidR="005C4EF8" w:rsidRPr="00D401FA" w:rsidRDefault="005C4EF8" w:rsidP="005C4EF8">
      <w:pPr>
        <w:jc w:val="both"/>
        <w:rPr>
          <w:rFonts w:ascii="Aptos" w:hAnsi="Aptos" w:cs="Calibri"/>
        </w:rPr>
      </w:pPr>
      <w:r w:rsidRPr="00D401FA">
        <w:rPr>
          <w:rFonts w:ascii="Aptos" w:hAnsi="Aptos" w:cs="Calibri"/>
          <w:b/>
          <w:bCs/>
        </w:rPr>
        <w:t>Encadré 4 : Gestion décentralisée des ressources naturelles</w:t>
      </w:r>
    </w:p>
    <w:tbl>
      <w:tblPr>
        <w:tblStyle w:val="TableGrid"/>
        <w:tblW w:w="0" w:type="auto"/>
        <w:tblLook w:val="04A0" w:firstRow="1" w:lastRow="0" w:firstColumn="1" w:lastColumn="0" w:noHBand="0" w:noVBand="1"/>
      </w:tblPr>
      <w:tblGrid>
        <w:gridCol w:w="9062"/>
      </w:tblGrid>
      <w:tr w:rsidR="00542E16" w:rsidRPr="00D401FA" w14:paraId="6F178A90" w14:textId="77777777" w:rsidTr="00F34F90">
        <w:tc>
          <w:tcPr>
            <w:tcW w:w="9062" w:type="dxa"/>
            <w:shd w:val="clear" w:color="auto" w:fill="EDEDED" w:themeFill="accent3" w:themeFillTint="33"/>
          </w:tcPr>
          <w:p w14:paraId="7E4AB0CB" w14:textId="77777777" w:rsidR="00542E16" w:rsidRPr="00E644ED" w:rsidRDefault="00542E16" w:rsidP="00216CAF">
            <w:pPr>
              <w:spacing w:after="160" w:line="259" w:lineRule="auto"/>
              <w:jc w:val="both"/>
              <w:rPr>
                <w:rFonts w:ascii="Aptos" w:hAnsi="Aptos" w:cs="Calibri"/>
                <w:sz w:val="20"/>
                <w:szCs w:val="20"/>
              </w:rPr>
            </w:pPr>
            <w:r w:rsidRPr="00E644ED">
              <w:rPr>
                <w:rFonts w:ascii="Aptos" w:hAnsi="Aptos" w:cs="Calibri"/>
                <w:sz w:val="20"/>
                <w:szCs w:val="20"/>
              </w:rPr>
              <w:t>Au milieu des années 2000, le Gouvernement de Mauritanie, avec l’appui du Programme de Gestion des Ressources Naturelles (</w:t>
            </w:r>
            <w:proofErr w:type="spellStart"/>
            <w:r w:rsidRPr="00E644ED">
              <w:rPr>
                <w:rFonts w:ascii="Aptos" w:hAnsi="Aptos" w:cs="Calibri"/>
                <w:sz w:val="20"/>
                <w:szCs w:val="20"/>
              </w:rPr>
              <w:t>ProGRN</w:t>
            </w:r>
            <w:proofErr w:type="spellEnd"/>
            <w:r w:rsidRPr="00E644ED">
              <w:rPr>
                <w:rFonts w:ascii="Aptos" w:hAnsi="Aptos" w:cs="Calibri"/>
                <w:sz w:val="20"/>
                <w:szCs w:val="20"/>
              </w:rPr>
              <w:t xml:space="preserve">) de la coopération allemande (GIZ), a engagé une révision du Code forestier afin de décentraliser les modalités de gestion des ressources naturelles du pays. La loi n° 2007-55 portant Code forestier et son décret d’application n° 104-2009 prévoient ainsi l’implication des populations, à travers les communes, dans la définition, la mise en œuvre et le suivi des conventions locales de gestion des ressources naturelles. L’objectif de cette approche est de revaloriser, moderniser et formaliser les pratiques traditionnelles de gestion pour la préservation des écosystèmes. La Mauritanie a été pionnière dans la mise en place d’un système de gestion décentralisée des ressources naturelles (notamment dans les régions du </w:t>
            </w:r>
            <w:proofErr w:type="spellStart"/>
            <w:r w:rsidRPr="00E644ED">
              <w:rPr>
                <w:rFonts w:ascii="Aptos" w:hAnsi="Aptos" w:cs="Calibri"/>
                <w:sz w:val="20"/>
                <w:szCs w:val="20"/>
              </w:rPr>
              <w:t>Guidimakha</w:t>
            </w:r>
            <w:proofErr w:type="spellEnd"/>
            <w:r w:rsidRPr="00E644ED">
              <w:rPr>
                <w:rFonts w:ascii="Aptos" w:hAnsi="Aptos" w:cs="Calibri"/>
                <w:sz w:val="20"/>
                <w:szCs w:val="20"/>
              </w:rPr>
              <w:t xml:space="preserve">, du </w:t>
            </w:r>
            <w:proofErr w:type="spellStart"/>
            <w:r w:rsidRPr="00E644ED">
              <w:rPr>
                <w:rFonts w:ascii="Aptos" w:hAnsi="Aptos" w:cs="Calibri"/>
                <w:sz w:val="20"/>
                <w:szCs w:val="20"/>
              </w:rPr>
              <w:t>Hodh</w:t>
            </w:r>
            <w:proofErr w:type="spellEnd"/>
            <w:r w:rsidRPr="00E644ED">
              <w:rPr>
                <w:rFonts w:ascii="Aptos" w:hAnsi="Aptos" w:cs="Calibri"/>
                <w:sz w:val="20"/>
                <w:szCs w:val="20"/>
              </w:rPr>
              <w:t xml:space="preserve"> El Gharbi et du Gorgol) et dans l’inscription de ce principe dans le cadre juridique.</w:t>
            </w:r>
          </w:p>
          <w:p w14:paraId="0AE7864A" w14:textId="060626B4" w:rsidR="00542E16" w:rsidRPr="00D401FA" w:rsidRDefault="00542E16" w:rsidP="00216CAF">
            <w:pPr>
              <w:spacing w:after="160" w:line="259" w:lineRule="auto"/>
              <w:jc w:val="both"/>
              <w:rPr>
                <w:rFonts w:ascii="Aptos" w:hAnsi="Aptos" w:cs="Calibri"/>
              </w:rPr>
            </w:pPr>
            <w:r w:rsidRPr="00E644ED">
              <w:rPr>
                <w:rFonts w:ascii="Aptos" w:hAnsi="Aptos" w:cs="Calibri"/>
                <w:sz w:val="20"/>
                <w:szCs w:val="20"/>
              </w:rPr>
              <w:t>Par ailleurs, certains textes juridiques, tels que le Code pastoral, le Code de la chasse et le Code de l’environnement, sont conçus pour promouvoir l’implication des organisations villageoises dans la gestion des enjeux locaux. Par exemple, le Code pastoral permet aux communes, sous certaines conditions, de transférer la gestion de certaines ressources à des associations représentant les différents groupes d’usagers de l’espace collectif. Cependant, des incohérences persistent entre les différents textes quant au rôle attribué aux organisations communautaires : en pratique, celles-ci n’occupent qu’un rôle secondaire et leurs avis demeurent consultatifs, en raison d’un manque d’information et surtout d’expertise.</w:t>
            </w:r>
          </w:p>
        </w:tc>
      </w:tr>
    </w:tbl>
    <w:p w14:paraId="0E66EEA2" w14:textId="5F386C5E" w:rsidR="00542E16" w:rsidRPr="00D401FA" w:rsidRDefault="00542E16" w:rsidP="00216CAF">
      <w:pPr>
        <w:jc w:val="both"/>
        <w:rPr>
          <w:rFonts w:ascii="Aptos" w:hAnsi="Aptos" w:cs="Calibri"/>
        </w:rPr>
      </w:pPr>
    </w:p>
    <w:p w14:paraId="34F530EE" w14:textId="77777777" w:rsidR="00542E16" w:rsidRPr="00D401FA" w:rsidRDefault="00542E16" w:rsidP="00216CAF">
      <w:pPr>
        <w:jc w:val="both"/>
        <w:rPr>
          <w:rFonts w:ascii="Aptos" w:hAnsi="Aptos" w:cs="Calibri"/>
        </w:rPr>
      </w:pPr>
      <w:r w:rsidRPr="00D401FA">
        <w:rPr>
          <w:rFonts w:ascii="Aptos" w:hAnsi="Aptos" w:cs="Calibri"/>
        </w:rPr>
        <w:t xml:space="preserve">Selon la législation, au niveau communal, la </w:t>
      </w:r>
      <w:r w:rsidRPr="005C4EF8">
        <w:rPr>
          <w:rFonts w:ascii="Aptos" w:hAnsi="Aptos" w:cs="Calibri"/>
          <w:b/>
          <w:bCs/>
          <w:i/>
          <w:iCs/>
        </w:rPr>
        <w:t>Commission Environnement et Développement Local</w:t>
      </w:r>
      <w:r w:rsidRPr="00D401FA">
        <w:rPr>
          <w:rFonts w:ascii="Aptos" w:hAnsi="Aptos" w:cs="Calibri"/>
        </w:rPr>
        <w:t xml:space="preserve"> (CEDL) devrait jouer un rôle central dans la définition et la mise en œuvre de stratégies de développement cohérentes, inclusives et concertées avec les acteurs locaux, en s’appuyant </w:t>
      </w:r>
      <w:r w:rsidRPr="00D401FA">
        <w:rPr>
          <w:rFonts w:ascii="Aptos" w:hAnsi="Aptos" w:cs="Calibri"/>
        </w:rPr>
        <w:lastRenderedPageBreak/>
        <w:t>notamment sur les travaux des Conseils Villageois de Développement (CVD) et des Comités de développement.</w:t>
      </w:r>
    </w:p>
    <w:p w14:paraId="69AC74DE" w14:textId="77777777" w:rsidR="00347340" w:rsidRPr="00D401FA" w:rsidRDefault="00347340" w:rsidP="00216CAF">
      <w:pPr>
        <w:jc w:val="both"/>
        <w:rPr>
          <w:rFonts w:ascii="Aptos" w:hAnsi="Aptos" w:cs="Calibri"/>
          <w:b/>
          <w:bCs/>
        </w:rPr>
      </w:pPr>
      <w:r w:rsidRPr="00D401FA">
        <w:rPr>
          <w:rFonts w:ascii="Aptos" w:hAnsi="Aptos" w:cs="Calibri"/>
          <w:b/>
          <w:bCs/>
        </w:rPr>
        <w:t>C) Gestion de l’emploi</w:t>
      </w:r>
    </w:p>
    <w:p w14:paraId="180C68C7" w14:textId="77777777" w:rsidR="00347340" w:rsidRPr="00D401FA" w:rsidRDefault="00347340" w:rsidP="00216CAF">
      <w:pPr>
        <w:jc w:val="both"/>
        <w:rPr>
          <w:rFonts w:ascii="Aptos" w:hAnsi="Aptos" w:cs="Calibri"/>
        </w:rPr>
      </w:pPr>
      <w:r w:rsidRPr="00D401FA">
        <w:rPr>
          <w:rFonts w:ascii="Aptos" w:hAnsi="Aptos" w:cs="Calibri"/>
          <w:b/>
          <w:bCs/>
        </w:rPr>
        <w:t>Conseil National du Travail, de l’Emploi et de la Sécurité Sociale (CNTESS)</w:t>
      </w:r>
    </w:p>
    <w:p w14:paraId="2F1C64FF" w14:textId="77777777" w:rsidR="00347340" w:rsidRPr="00D401FA" w:rsidRDefault="00347340" w:rsidP="00216CAF">
      <w:pPr>
        <w:jc w:val="both"/>
        <w:rPr>
          <w:rFonts w:ascii="Aptos" w:hAnsi="Aptos" w:cs="Calibri"/>
        </w:rPr>
      </w:pPr>
      <w:r w:rsidRPr="00D401FA">
        <w:rPr>
          <w:rFonts w:ascii="Aptos" w:hAnsi="Aptos" w:cs="Calibri"/>
        </w:rPr>
        <w:t>Conformément aux articles 416 à 424 de la loi n° 2004-017 du 6 juillet 2004 portant Code du travail, il est institué un Conseil National du Travail, de l’Emploi et de la Sécurité Sociale (CNTESS), placé sous la tutelle du Ministre en charge du Travail, de l’Emploi et de la Sécurité sociale.</w:t>
      </w:r>
    </w:p>
    <w:p w14:paraId="6F5B6825" w14:textId="77777777" w:rsidR="00347340" w:rsidRPr="00D401FA" w:rsidRDefault="00347340" w:rsidP="00216CAF">
      <w:pPr>
        <w:jc w:val="both"/>
        <w:rPr>
          <w:rFonts w:ascii="Aptos" w:hAnsi="Aptos" w:cs="Calibri"/>
        </w:rPr>
      </w:pPr>
      <w:r w:rsidRPr="00D401FA">
        <w:rPr>
          <w:rFonts w:ascii="Aptos" w:hAnsi="Aptos" w:cs="Calibri"/>
        </w:rPr>
        <w:t>La mission générale de cet organe consultatif est d’étudier les questions relatives au travail, à la formation professionnelle, à l’emploi et à la protection sociale.</w:t>
      </w:r>
    </w:p>
    <w:p w14:paraId="20B747A8" w14:textId="77777777" w:rsidR="00347340" w:rsidRPr="00D401FA" w:rsidRDefault="00347340" w:rsidP="00216CAF">
      <w:pPr>
        <w:jc w:val="both"/>
        <w:rPr>
          <w:rFonts w:ascii="Aptos" w:hAnsi="Aptos" w:cs="Calibri"/>
        </w:rPr>
      </w:pPr>
      <w:r w:rsidRPr="00D401FA">
        <w:rPr>
          <w:rFonts w:ascii="Aptos" w:hAnsi="Aptos" w:cs="Calibri"/>
        </w:rPr>
        <w:t>Tous les projets de loi portant sur ces domaines doivent être accompagnés de l’avis du CNTESS. Celui-ci est chargé d’examiner les éléments susceptibles de servir de base à la détermination du salaire minimum, tels que le minimum vital et les conditions économiques et sociales générales. Il peut, par l’intermédiaire de son président, solliciter auprès des administrations compétentes tout document ou information utile à l’accomplissement de sa mission. Le Conseil peut également formuler et adresser des recommandations au Ministre en charge du Travail sur toute question relevant de sa compétence.</w:t>
      </w:r>
    </w:p>
    <w:p w14:paraId="13A1BBCB" w14:textId="210CDAAA" w:rsidR="00347340" w:rsidRPr="00D401FA" w:rsidRDefault="00347340" w:rsidP="005C4EF8">
      <w:pPr>
        <w:pStyle w:val="Heading3"/>
      </w:pPr>
      <w:bookmarkStart w:id="72" w:name="_Toc227686320"/>
      <w:bookmarkStart w:id="73" w:name="_Toc227686366"/>
      <w:r w:rsidRPr="00D401FA">
        <w:t>Autres acteurs</w:t>
      </w:r>
      <w:bookmarkEnd w:id="72"/>
      <w:bookmarkEnd w:id="73"/>
    </w:p>
    <w:p w14:paraId="3EAE0F45" w14:textId="77777777" w:rsidR="00347340" w:rsidRPr="00D401FA" w:rsidRDefault="00347340" w:rsidP="00216CAF">
      <w:pPr>
        <w:jc w:val="both"/>
        <w:rPr>
          <w:rFonts w:ascii="Aptos" w:hAnsi="Aptos" w:cs="Calibri"/>
        </w:rPr>
      </w:pPr>
      <w:r w:rsidRPr="00D401FA">
        <w:rPr>
          <w:rFonts w:ascii="Aptos" w:hAnsi="Aptos" w:cs="Calibri"/>
        </w:rPr>
        <w:t>En Mauritanie, plusieurs autres institutions interviennent dans la recherche, le contrôle et le suivi des questions environnementales et sociales, et constituent des acteurs clés dans l’élaboration et la mise en œuvre des politiques et stratégies.</w:t>
      </w:r>
    </w:p>
    <w:p w14:paraId="368CB092" w14:textId="77777777" w:rsidR="00347340" w:rsidRPr="005C4EF8" w:rsidRDefault="00347340" w:rsidP="00216CAF">
      <w:pPr>
        <w:jc w:val="both"/>
        <w:rPr>
          <w:rFonts w:ascii="Aptos" w:hAnsi="Aptos" w:cs="Calibri"/>
          <w:b/>
          <w:bCs/>
          <w:i/>
          <w:iCs/>
        </w:rPr>
      </w:pPr>
      <w:r w:rsidRPr="005C4EF8">
        <w:rPr>
          <w:rFonts w:ascii="Aptos" w:hAnsi="Aptos" w:cs="Calibri"/>
          <w:b/>
          <w:bCs/>
          <w:i/>
          <w:iCs/>
        </w:rPr>
        <w:t>Centres et institutions de recherche</w:t>
      </w:r>
    </w:p>
    <w:p w14:paraId="4E5E9719" w14:textId="77777777"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Centre National de Recherche Agronomique et de Développement Agricole (CNRADA) ;</w:t>
      </w:r>
    </w:p>
    <w:p w14:paraId="1DD76D8E" w14:textId="77777777"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Institut National de l’Environnement de Mauritanie (INEM) ;</w:t>
      </w:r>
    </w:p>
    <w:p w14:paraId="6C92A166" w14:textId="77777777"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Observatoire National de l’Environnement et du Littoral (ONEL) ;</w:t>
      </w:r>
    </w:p>
    <w:p w14:paraId="5046A477" w14:textId="77777777"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Observatoire National des Droits des Femmes et des Filles (ONDFF).</w:t>
      </w:r>
    </w:p>
    <w:p w14:paraId="0E8CCD22" w14:textId="77777777" w:rsidR="005C4EF8" w:rsidRDefault="005C4EF8" w:rsidP="00216CAF">
      <w:pPr>
        <w:jc w:val="both"/>
        <w:rPr>
          <w:rFonts w:ascii="Aptos" w:hAnsi="Aptos" w:cs="Calibri"/>
          <w:b/>
          <w:bCs/>
          <w:i/>
          <w:iCs/>
        </w:rPr>
      </w:pPr>
    </w:p>
    <w:p w14:paraId="41203DFA" w14:textId="58BE1086" w:rsidR="00347340" w:rsidRPr="005C4EF8" w:rsidRDefault="00347340" w:rsidP="00216CAF">
      <w:pPr>
        <w:jc w:val="both"/>
        <w:rPr>
          <w:rFonts w:ascii="Aptos" w:hAnsi="Aptos" w:cs="Calibri"/>
          <w:b/>
          <w:bCs/>
          <w:i/>
          <w:iCs/>
        </w:rPr>
      </w:pPr>
      <w:r w:rsidRPr="005C4EF8">
        <w:rPr>
          <w:rFonts w:ascii="Aptos" w:hAnsi="Aptos" w:cs="Calibri"/>
          <w:b/>
          <w:bCs/>
          <w:i/>
          <w:iCs/>
        </w:rPr>
        <w:t>Directions et établissements</w:t>
      </w:r>
    </w:p>
    <w:p w14:paraId="0CF66402" w14:textId="266206A0"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Direction de l’Assainissement (DA)</w:t>
      </w:r>
      <w:r w:rsidR="005C4EF8">
        <w:rPr>
          <w:rFonts w:ascii="Aptos" w:hAnsi="Aptos" w:cs="Calibri"/>
        </w:rPr>
        <w:t> </w:t>
      </w:r>
      <w:r w:rsidRPr="00D401FA">
        <w:rPr>
          <w:rFonts w:ascii="Aptos" w:hAnsi="Aptos" w:cs="Calibri"/>
        </w:rPr>
        <w:t>;</w:t>
      </w:r>
    </w:p>
    <w:p w14:paraId="63675F71" w14:textId="69F5D627"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Centre National des Ressources en Eau (CNRE)</w:t>
      </w:r>
      <w:r w:rsidR="005C4EF8">
        <w:rPr>
          <w:rFonts w:ascii="Aptos" w:hAnsi="Aptos" w:cs="Calibri"/>
        </w:rPr>
        <w:t> </w:t>
      </w:r>
      <w:r w:rsidRPr="00D401FA">
        <w:rPr>
          <w:rFonts w:ascii="Aptos" w:hAnsi="Aptos" w:cs="Calibri"/>
        </w:rPr>
        <w:t>;</w:t>
      </w:r>
    </w:p>
    <w:p w14:paraId="0FC54D2B" w14:textId="77777777"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Institut National de Recherche en Santé Publique (INRSP), etc.</w:t>
      </w:r>
    </w:p>
    <w:p w14:paraId="7F1E0FE6" w14:textId="77777777" w:rsidR="00E644ED" w:rsidRDefault="00E644ED" w:rsidP="00216CAF">
      <w:pPr>
        <w:jc w:val="both"/>
        <w:rPr>
          <w:rFonts w:ascii="Aptos" w:hAnsi="Aptos" w:cs="Calibri"/>
          <w:b/>
          <w:bCs/>
          <w:i/>
          <w:iCs/>
        </w:rPr>
      </w:pPr>
    </w:p>
    <w:p w14:paraId="1F2E194E" w14:textId="5DE040AD" w:rsidR="00347340" w:rsidRPr="005C4EF8" w:rsidRDefault="00347340" w:rsidP="00216CAF">
      <w:pPr>
        <w:jc w:val="both"/>
        <w:rPr>
          <w:rFonts w:ascii="Aptos" w:hAnsi="Aptos" w:cs="Calibri"/>
          <w:b/>
          <w:bCs/>
          <w:i/>
          <w:iCs/>
        </w:rPr>
      </w:pPr>
      <w:r w:rsidRPr="005C4EF8">
        <w:rPr>
          <w:rFonts w:ascii="Aptos" w:hAnsi="Aptos" w:cs="Calibri"/>
          <w:b/>
          <w:bCs/>
          <w:i/>
          <w:iCs/>
        </w:rPr>
        <w:t>Départements universitaires</w:t>
      </w:r>
    </w:p>
    <w:p w14:paraId="468D7F08" w14:textId="12DF278C"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Département de Géographie / Laboratoire d’Études Environnementales et de Recherches Géographiques (LEERG)</w:t>
      </w:r>
      <w:r w:rsidR="005C4EF8">
        <w:rPr>
          <w:rFonts w:ascii="Aptos" w:hAnsi="Aptos" w:cs="Calibri"/>
        </w:rPr>
        <w:t> </w:t>
      </w:r>
      <w:r w:rsidRPr="00D401FA">
        <w:rPr>
          <w:rFonts w:ascii="Aptos" w:hAnsi="Aptos" w:cs="Calibri"/>
        </w:rPr>
        <w:t>;</w:t>
      </w:r>
    </w:p>
    <w:p w14:paraId="3D4F2A80" w14:textId="21DC9663"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Département de Biologie et d’Écologie</w:t>
      </w:r>
      <w:r w:rsidR="005C4EF8">
        <w:rPr>
          <w:rFonts w:ascii="Aptos" w:hAnsi="Aptos" w:cs="Calibri"/>
        </w:rPr>
        <w:t> </w:t>
      </w:r>
      <w:r w:rsidRPr="00D401FA">
        <w:rPr>
          <w:rFonts w:ascii="Aptos" w:hAnsi="Aptos" w:cs="Calibri"/>
        </w:rPr>
        <w:t>;</w:t>
      </w:r>
    </w:p>
    <w:p w14:paraId="211E4D1D" w14:textId="69CDF8E5"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Département d’Hydrologie et de Gestion des Ressources en Eau</w:t>
      </w:r>
      <w:r w:rsidR="005C4EF8">
        <w:rPr>
          <w:rFonts w:ascii="Aptos" w:hAnsi="Aptos" w:cs="Calibri"/>
        </w:rPr>
        <w:t> </w:t>
      </w:r>
      <w:r w:rsidRPr="00D401FA">
        <w:rPr>
          <w:rFonts w:ascii="Aptos" w:hAnsi="Aptos" w:cs="Calibri"/>
        </w:rPr>
        <w:t>;</w:t>
      </w:r>
    </w:p>
    <w:p w14:paraId="2281187F" w14:textId="2AD1C87F"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Département d’Agronomie et d’Environnement</w:t>
      </w:r>
      <w:r w:rsidR="005C4EF8">
        <w:rPr>
          <w:rFonts w:ascii="Aptos" w:hAnsi="Aptos" w:cs="Calibri"/>
        </w:rPr>
        <w:t> </w:t>
      </w:r>
      <w:r w:rsidRPr="00D401FA">
        <w:rPr>
          <w:rFonts w:ascii="Aptos" w:hAnsi="Aptos" w:cs="Calibri"/>
        </w:rPr>
        <w:t>;</w:t>
      </w:r>
    </w:p>
    <w:p w14:paraId="4D957423" w14:textId="77777777" w:rsidR="00347340" w:rsidRPr="00D401FA" w:rsidRDefault="00347340" w:rsidP="008B048C">
      <w:pPr>
        <w:numPr>
          <w:ilvl w:val="0"/>
          <w:numId w:val="14"/>
        </w:numPr>
        <w:spacing w:after="0"/>
        <w:ind w:left="714" w:hanging="357"/>
        <w:jc w:val="both"/>
        <w:rPr>
          <w:rFonts w:ascii="Aptos" w:hAnsi="Aptos" w:cs="Calibri"/>
        </w:rPr>
      </w:pPr>
      <w:r w:rsidRPr="00D401FA">
        <w:rPr>
          <w:rFonts w:ascii="Aptos" w:hAnsi="Aptos" w:cs="Calibri"/>
        </w:rPr>
        <w:t>Département de Droit de l’Environnement, etc.</w:t>
      </w:r>
    </w:p>
    <w:p w14:paraId="79953ECC" w14:textId="7AC76A71" w:rsidR="00347340" w:rsidRPr="00D401FA" w:rsidRDefault="00347340" w:rsidP="00216CAF">
      <w:pPr>
        <w:jc w:val="both"/>
        <w:rPr>
          <w:rFonts w:ascii="Aptos" w:hAnsi="Aptos" w:cs="Calibri"/>
        </w:rPr>
      </w:pPr>
    </w:p>
    <w:p w14:paraId="6D972160" w14:textId="77777777" w:rsidR="00347340" w:rsidRPr="005C4EF8" w:rsidRDefault="00347340" w:rsidP="00216CAF">
      <w:pPr>
        <w:jc w:val="both"/>
        <w:rPr>
          <w:rFonts w:ascii="Aptos" w:hAnsi="Aptos" w:cs="Calibri"/>
          <w:b/>
          <w:bCs/>
          <w:i/>
          <w:iCs/>
        </w:rPr>
      </w:pPr>
      <w:r w:rsidRPr="005C4EF8">
        <w:rPr>
          <w:rFonts w:ascii="Aptos" w:hAnsi="Aptos" w:cs="Calibri"/>
          <w:b/>
          <w:bCs/>
          <w:i/>
          <w:iCs/>
        </w:rPr>
        <w:lastRenderedPageBreak/>
        <w:t>Cabinets de conseil et consultants</w:t>
      </w:r>
    </w:p>
    <w:p w14:paraId="59E85716" w14:textId="62242EB4" w:rsidR="00347340" w:rsidRPr="00D401FA" w:rsidRDefault="005C4EF8" w:rsidP="00216CAF">
      <w:pPr>
        <w:jc w:val="both"/>
        <w:rPr>
          <w:rFonts w:ascii="Aptos" w:hAnsi="Aptos" w:cs="Calibri"/>
        </w:rPr>
      </w:pPr>
      <w:r>
        <w:rPr>
          <w:rFonts w:ascii="Aptos" w:hAnsi="Aptos" w:cs="Calibri"/>
        </w:rPr>
        <w:t>Le pays</w:t>
      </w:r>
      <w:r w:rsidR="00347340" w:rsidRPr="00D401FA">
        <w:rPr>
          <w:rFonts w:ascii="Aptos" w:hAnsi="Aptos" w:cs="Calibri"/>
        </w:rPr>
        <w:t xml:space="preserve"> compte environ une trentaine de bureaux d’études qui </w:t>
      </w:r>
      <w:r w:rsidR="00C57F48">
        <w:rPr>
          <w:rFonts w:ascii="Aptos" w:hAnsi="Aptos" w:cs="Calibri"/>
        </w:rPr>
        <w:t>peuvent réaliser</w:t>
      </w:r>
      <w:r w:rsidR="00347340" w:rsidRPr="00D401FA">
        <w:rPr>
          <w:rFonts w:ascii="Aptos" w:hAnsi="Aptos" w:cs="Calibri"/>
        </w:rPr>
        <w:t xml:space="preserve"> des études d’impact environnemental (EIE) ou des évaluations environnementales stratégiques (EES), bien qu’ils ne soient pas formellement recensés. Par ailleurs, il n’existe pas d’exigence d’agrément ou de certification formelle pour les experts réalisant des évaluations environnementales. Parmi les cabinets les plus actifs dans le domaine environnemental figurent notamment : </w:t>
      </w:r>
      <w:proofErr w:type="spellStart"/>
      <w:r w:rsidR="00347340" w:rsidRPr="00D401FA">
        <w:rPr>
          <w:rFonts w:ascii="Aptos" w:hAnsi="Aptos" w:cs="Calibri"/>
        </w:rPr>
        <w:t>African</w:t>
      </w:r>
      <w:proofErr w:type="spellEnd"/>
      <w:r w:rsidR="00347340" w:rsidRPr="00D401FA">
        <w:rPr>
          <w:rFonts w:ascii="Aptos" w:hAnsi="Aptos" w:cs="Calibri"/>
        </w:rPr>
        <w:t xml:space="preserve"> </w:t>
      </w:r>
      <w:proofErr w:type="spellStart"/>
      <w:r w:rsidR="00347340" w:rsidRPr="00D401FA">
        <w:rPr>
          <w:rFonts w:ascii="Aptos" w:hAnsi="Aptos" w:cs="Calibri"/>
        </w:rPr>
        <w:t>Research</w:t>
      </w:r>
      <w:proofErr w:type="spellEnd"/>
      <w:r w:rsidR="00347340" w:rsidRPr="00D401FA">
        <w:rPr>
          <w:rFonts w:ascii="Aptos" w:hAnsi="Aptos" w:cs="Calibri"/>
        </w:rPr>
        <w:t xml:space="preserve"> and Control Bureau in </w:t>
      </w:r>
      <w:proofErr w:type="spellStart"/>
      <w:r w:rsidR="00347340" w:rsidRPr="00D401FA">
        <w:rPr>
          <w:rFonts w:ascii="Aptos" w:hAnsi="Aptos" w:cs="Calibri"/>
        </w:rPr>
        <w:t>Mauritania</w:t>
      </w:r>
      <w:proofErr w:type="spellEnd"/>
      <w:r w:rsidR="00347340" w:rsidRPr="00D401FA">
        <w:rPr>
          <w:rFonts w:ascii="Aptos" w:hAnsi="Aptos" w:cs="Calibri"/>
        </w:rPr>
        <w:t xml:space="preserve"> (AFRECOM), le Bureau d’Experts Conseils en Environnement et Développement Durable (BECED), ainsi que le Bureau d’Évaluations Environnementales, Sociales, d’Audits et de Suivi (BEESAS).</w:t>
      </w:r>
    </w:p>
    <w:p w14:paraId="4161C088" w14:textId="77777777" w:rsidR="00347340" w:rsidRPr="00D401FA" w:rsidRDefault="00347340" w:rsidP="00216CAF">
      <w:pPr>
        <w:jc w:val="both"/>
        <w:rPr>
          <w:rFonts w:ascii="Aptos" w:hAnsi="Aptos" w:cs="Calibri"/>
        </w:rPr>
      </w:pPr>
      <w:r w:rsidRPr="00D401FA">
        <w:rPr>
          <w:rFonts w:ascii="Aptos" w:hAnsi="Aptos" w:cs="Calibri"/>
        </w:rPr>
        <w:t>Les consultants individuels intervenant dans les évaluations environnementales ne sont pas non plus soumis à une obligation de certification. Cependant, l’administration, à travers la DECE, s’assure de leurs compétences en demandant leurs curriculum vitae et en les auditionnant lors de réunions de définition des termes de référence.</w:t>
      </w:r>
    </w:p>
    <w:p w14:paraId="25C38D8D" w14:textId="77777777" w:rsidR="00347340" w:rsidRPr="00EC0A53" w:rsidRDefault="00347340" w:rsidP="00216CAF">
      <w:pPr>
        <w:jc w:val="both"/>
        <w:rPr>
          <w:rFonts w:ascii="Aptos" w:hAnsi="Aptos" w:cs="Calibri"/>
          <w:b/>
          <w:bCs/>
          <w:i/>
          <w:iCs/>
        </w:rPr>
      </w:pPr>
      <w:r w:rsidRPr="00EC0A53">
        <w:rPr>
          <w:rFonts w:ascii="Aptos" w:hAnsi="Aptos" w:cs="Calibri"/>
          <w:b/>
          <w:bCs/>
          <w:i/>
          <w:iCs/>
        </w:rPr>
        <w:t>ONG et associations</w:t>
      </w:r>
    </w:p>
    <w:p w14:paraId="5A1A26F3" w14:textId="77777777" w:rsidR="00347340" w:rsidRPr="00D401FA" w:rsidRDefault="00347340" w:rsidP="00216CAF">
      <w:pPr>
        <w:jc w:val="both"/>
        <w:rPr>
          <w:rFonts w:ascii="Aptos" w:hAnsi="Aptos" w:cs="Calibri"/>
        </w:rPr>
      </w:pPr>
      <w:r w:rsidRPr="00D401FA">
        <w:rPr>
          <w:rFonts w:ascii="Aptos" w:hAnsi="Aptos" w:cs="Calibri"/>
        </w:rPr>
        <w:t>On compte très peu d’organisations non gouvernementales nationales opérationnelles, disposant de personnel qualifié dans le domaine environnemental et social (moins d’une douzaine). Parmi celles qui interviennent dans le domaine de l’environnement et du développement durable et qui ont une présence sur le web, on peut citer :</w:t>
      </w:r>
    </w:p>
    <w:p w14:paraId="3855121E" w14:textId="472D0918" w:rsidR="00347340" w:rsidRPr="00D401FA" w:rsidRDefault="00347340" w:rsidP="008B048C">
      <w:pPr>
        <w:numPr>
          <w:ilvl w:val="0"/>
          <w:numId w:val="15"/>
        </w:numPr>
        <w:spacing w:after="0"/>
        <w:ind w:left="714" w:hanging="357"/>
        <w:jc w:val="both"/>
        <w:rPr>
          <w:rFonts w:ascii="Aptos" w:hAnsi="Aptos" w:cs="Calibri"/>
        </w:rPr>
      </w:pPr>
      <w:r w:rsidRPr="00EC0A53">
        <w:rPr>
          <w:rFonts w:ascii="Aptos" w:hAnsi="Aptos" w:cs="Calibri"/>
          <w:i/>
          <w:iCs/>
        </w:rPr>
        <w:t>Nature Mauritanie</w:t>
      </w:r>
      <w:r w:rsidRPr="00D401FA">
        <w:rPr>
          <w:rFonts w:ascii="Aptos" w:hAnsi="Aptos" w:cs="Calibri"/>
        </w:rPr>
        <w:t xml:space="preserve">, ONG associative à but non lucratif, spécialisée dans la gestion intégrée des zones humides et de leurs ressources, dont l’objet est d’améliorer les connaissances sur la conservation et l’utilisation durable de la biodiversité des zones humides mauritaniennes en général et celles du delta </w:t>
      </w:r>
      <w:r w:rsidR="00C71F21">
        <w:rPr>
          <w:rFonts w:ascii="Aptos" w:hAnsi="Aptos" w:cs="Calibri"/>
        </w:rPr>
        <w:t xml:space="preserve">inférieur </w:t>
      </w:r>
      <w:r w:rsidRPr="00D401FA">
        <w:rPr>
          <w:rFonts w:ascii="Aptos" w:hAnsi="Aptos" w:cs="Calibri"/>
        </w:rPr>
        <w:t>en particulier ;</w:t>
      </w:r>
    </w:p>
    <w:p w14:paraId="32A4DA92" w14:textId="77777777" w:rsidR="00347340" w:rsidRPr="00D401FA" w:rsidRDefault="00347340" w:rsidP="008B048C">
      <w:pPr>
        <w:numPr>
          <w:ilvl w:val="0"/>
          <w:numId w:val="15"/>
        </w:numPr>
        <w:spacing w:after="0"/>
        <w:ind w:left="714" w:hanging="357"/>
        <w:jc w:val="both"/>
        <w:rPr>
          <w:rFonts w:ascii="Aptos" w:hAnsi="Aptos" w:cs="Calibri"/>
        </w:rPr>
      </w:pPr>
      <w:r w:rsidRPr="00EC0A53">
        <w:rPr>
          <w:rFonts w:ascii="Aptos" w:hAnsi="Aptos" w:cs="Calibri"/>
          <w:i/>
          <w:iCs/>
        </w:rPr>
        <w:t>Agir en faveur de l’environnement</w:t>
      </w:r>
      <w:r w:rsidRPr="00D401FA">
        <w:rPr>
          <w:rFonts w:ascii="Aptos" w:hAnsi="Aptos" w:cs="Calibri"/>
        </w:rPr>
        <w:t xml:space="preserve"> (AFE), ONG dont les priorités portent sur la formation, la bonne gouvernance, la protection des droits humains et de l’environnement, la réduction de la pauvreté, la promotion du développement durable et l’appui aux initiatives locales ;</w:t>
      </w:r>
    </w:p>
    <w:p w14:paraId="7961EC6D" w14:textId="77777777" w:rsidR="00347340" w:rsidRPr="00D401FA" w:rsidRDefault="00347340" w:rsidP="008B048C">
      <w:pPr>
        <w:numPr>
          <w:ilvl w:val="0"/>
          <w:numId w:val="15"/>
        </w:numPr>
        <w:spacing w:after="0"/>
        <w:ind w:left="714" w:hanging="357"/>
        <w:jc w:val="both"/>
        <w:rPr>
          <w:rFonts w:ascii="Aptos" w:hAnsi="Aptos" w:cs="Calibri"/>
        </w:rPr>
      </w:pPr>
      <w:r w:rsidRPr="00EC0A53">
        <w:rPr>
          <w:rFonts w:ascii="Aptos" w:hAnsi="Aptos" w:cs="Calibri"/>
          <w:i/>
          <w:iCs/>
        </w:rPr>
        <w:t>Association pour la Protection de l’Environnement et l’Action Humanitaire</w:t>
      </w:r>
      <w:r w:rsidRPr="00D401FA">
        <w:rPr>
          <w:rFonts w:ascii="Aptos" w:hAnsi="Aptos" w:cs="Calibri"/>
        </w:rPr>
        <w:t xml:space="preserve"> (APEAH), ONG accréditée auprès de la Francophonie, intervenant principalement sur les questions environnementales, sociales et de droits humains ;</w:t>
      </w:r>
    </w:p>
    <w:p w14:paraId="3CB80630" w14:textId="3918A187" w:rsidR="00347340" w:rsidRPr="00D401FA" w:rsidRDefault="00347340" w:rsidP="008B048C">
      <w:pPr>
        <w:numPr>
          <w:ilvl w:val="0"/>
          <w:numId w:val="15"/>
        </w:numPr>
        <w:spacing w:after="0"/>
        <w:ind w:left="714" w:hanging="357"/>
        <w:jc w:val="both"/>
        <w:rPr>
          <w:rFonts w:ascii="Aptos" w:hAnsi="Aptos" w:cs="Calibri"/>
        </w:rPr>
      </w:pPr>
      <w:r w:rsidRPr="00EC0A53">
        <w:rPr>
          <w:rFonts w:ascii="Aptos" w:hAnsi="Aptos" w:cs="Calibri"/>
          <w:i/>
          <w:iCs/>
        </w:rPr>
        <w:t xml:space="preserve">Association </w:t>
      </w:r>
      <w:proofErr w:type="spellStart"/>
      <w:r w:rsidRPr="00EC0A53">
        <w:rPr>
          <w:rFonts w:ascii="Aptos" w:hAnsi="Aptos" w:cs="Calibri"/>
          <w:i/>
          <w:iCs/>
        </w:rPr>
        <w:t>Naforé</w:t>
      </w:r>
      <w:proofErr w:type="spellEnd"/>
      <w:r w:rsidRPr="00D401FA">
        <w:rPr>
          <w:rFonts w:ascii="Aptos" w:hAnsi="Aptos" w:cs="Calibri"/>
        </w:rPr>
        <w:t>, active dans les domaines de l’environnement, de la santé, de l’hygiène et de l’assainissement ;</w:t>
      </w:r>
    </w:p>
    <w:p w14:paraId="7AD22B30" w14:textId="77777777" w:rsidR="00347340" w:rsidRPr="00D401FA" w:rsidRDefault="00347340" w:rsidP="008B048C">
      <w:pPr>
        <w:numPr>
          <w:ilvl w:val="0"/>
          <w:numId w:val="15"/>
        </w:numPr>
        <w:spacing w:after="0"/>
        <w:ind w:left="714" w:hanging="357"/>
        <w:jc w:val="both"/>
        <w:rPr>
          <w:rFonts w:ascii="Aptos" w:hAnsi="Aptos" w:cs="Calibri"/>
        </w:rPr>
      </w:pPr>
      <w:r w:rsidRPr="00EC0A53">
        <w:rPr>
          <w:rFonts w:ascii="Aptos" w:hAnsi="Aptos" w:cs="Calibri"/>
          <w:i/>
          <w:iCs/>
        </w:rPr>
        <w:t xml:space="preserve">El </w:t>
      </w:r>
      <w:proofErr w:type="spellStart"/>
      <w:r w:rsidRPr="00EC0A53">
        <w:rPr>
          <w:rFonts w:ascii="Aptos" w:hAnsi="Aptos" w:cs="Calibri"/>
          <w:i/>
          <w:iCs/>
        </w:rPr>
        <w:t>Ghad</w:t>
      </w:r>
      <w:proofErr w:type="spellEnd"/>
      <w:r w:rsidRPr="00EC0A53">
        <w:rPr>
          <w:rFonts w:ascii="Aptos" w:hAnsi="Aptos" w:cs="Calibri"/>
          <w:i/>
          <w:iCs/>
        </w:rPr>
        <w:t xml:space="preserve"> Essihi pour le Développement et la Protection de l’Environnement en Mauritanie </w:t>
      </w:r>
      <w:r w:rsidRPr="00D401FA">
        <w:rPr>
          <w:rFonts w:ascii="Aptos" w:hAnsi="Aptos" w:cs="Calibri"/>
        </w:rPr>
        <w:t>(EGEDPEM), intervenant à l’échelle nationale en faveur de l’amélioration durable des conditions de vie des populations les plus vulnérables ;</w:t>
      </w:r>
    </w:p>
    <w:p w14:paraId="6BCFC2C7" w14:textId="77777777" w:rsidR="00347340" w:rsidRPr="00D401FA" w:rsidRDefault="00347340" w:rsidP="008B048C">
      <w:pPr>
        <w:numPr>
          <w:ilvl w:val="0"/>
          <w:numId w:val="15"/>
        </w:numPr>
        <w:spacing w:after="0"/>
        <w:ind w:left="714" w:hanging="357"/>
        <w:jc w:val="both"/>
        <w:rPr>
          <w:rFonts w:ascii="Aptos" w:hAnsi="Aptos" w:cs="Calibri"/>
        </w:rPr>
      </w:pPr>
      <w:r w:rsidRPr="00EC0A53">
        <w:rPr>
          <w:rFonts w:ascii="Aptos" w:hAnsi="Aptos" w:cs="Calibri"/>
          <w:i/>
          <w:iCs/>
        </w:rPr>
        <w:t>Association pour la Gestion Participative des Oasis</w:t>
      </w:r>
      <w:r w:rsidRPr="00D401FA">
        <w:rPr>
          <w:rFonts w:ascii="Aptos" w:hAnsi="Aptos" w:cs="Calibri"/>
        </w:rPr>
        <w:t xml:space="preserve"> (AGPO), créée dans les années 1990 pour la conservation du patrimoine oasien et la valorisation de ses produits et de l’artisanat ;</w:t>
      </w:r>
    </w:p>
    <w:p w14:paraId="1C702D54" w14:textId="77777777" w:rsidR="00347340" w:rsidRPr="00D401FA" w:rsidRDefault="00347340" w:rsidP="008B048C">
      <w:pPr>
        <w:numPr>
          <w:ilvl w:val="0"/>
          <w:numId w:val="15"/>
        </w:numPr>
        <w:spacing w:after="0"/>
        <w:ind w:left="714" w:hanging="357"/>
        <w:jc w:val="both"/>
        <w:rPr>
          <w:rFonts w:ascii="Aptos" w:hAnsi="Aptos" w:cs="Calibri"/>
        </w:rPr>
      </w:pPr>
      <w:r w:rsidRPr="00EC0A53">
        <w:rPr>
          <w:rFonts w:ascii="Aptos" w:hAnsi="Aptos" w:cs="Calibri"/>
          <w:i/>
          <w:iCs/>
        </w:rPr>
        <w:t>Vision du Sud</w:t>
      </w:r>
      <w:r w:rsidRPr="00D401FA">
        <w:rPr>
          <w:rFonts w:ascii="Aptos" w:hAnsi="Aptos" w:cs="Calibri"/>
        </w:rPr>
        <w:t xml:space="preserve"> (VDS), intervenant dans les domaines de la gouvernance et de l’éco-citoyenneté à travers plusieurs axes thématiques, notamment le changement climatique, l’eau, l’hygiène et l’assainissement, la gouvernance des ressources naturelles, la santé communautaire, les actions IEC (information, éducation, communication) et la sensibilisation.</w:t>
      </w:r>
    </w:p>
    <w:p w14:paraId="17B68C42" w14:textId="77777777" w:rsidR="00EC0A53" w:rsidRDefault="00EC0A53" w:rsidP="00216CAF">
      <w:pPr>
        <w:jc w:val="both"/>
        <w:rPr>
          <w:rFonts w:ascii="Aptos" w:hAnsi="Aptos" w:cs="Calibri"/>
        </w:rPr>
      </w:pPr>
    </w:p>
    <w:p w14:paraId="78FE0570" w14:textId="77777777" w:rsidR="00C57F48" w:rsidRDefault="00C57F48">
      <w:pPr>
        <w:rPr>
          <w:rFonts w:ascii="Aptos" w:hAnsi="Aptos" w:cs="Calibri"/>
        </w:rPr>
      </w:pPr>
      <w:r>
        <w:rPr>
          <w:rFonts w:ascii="Aptos" w:hAnsi="Aptos" w:cs="Calibri"/>
        </w:rPr>
        <w:br w:type="page"/>
      </w:r>
    </w:p>
    <w:p w14:paraId="1687ABB0" w14:textId="21208E41" w:rsidR="00347340" w:rsidRPr="00D401FA" w:rsidRDefault="00347340" w:rsidP="00216CAF">
      <w:pPr>
        <w:jc w:val="both"/>
        <w:rPr>
          <w:rFonts w:ascii="Aptos" w:hAnsi="Aptos" w:cs="Calibri"/>
        </w:rPr>
      </w:pPr>
      <w:r w:rsidRPr="00D401FA">
        <w:rPr>
          <w:rFonts w:ascii="Aptos" w:hAnsi="Aptos" w:cs="Calibri"/>
        </w:rPr>
        <w:lastRenderedPageBreak/>
        <w:t>Parmi les ONG et associations internationales actives en Mauritanie, on peut citer :</w:t>
      </w:r>
    </w:p>
    <w:p w14:paraId="6DD22CF1" w14:textId="77777777" w:rsidR="00347340" w:rsidRPr="00D401FA" w:rsidRDefault="00347340" w:rsidP="008B048C">
      <w:pPr>
        <w:numPr>
          <w:ilvl w:val="0"/>
          <w:numId w:val="16"/>
        </w:numPr>
        <w:spacing w:after="0"/>
        <w:ind w:left="714" w:hanging="357"/>
        <w:jc w:val="both"/>
        <w:rPr>
          <w:rFonts w:ascii="Aptos" w:hAnsi="Aptos" w:cs="Calibri"/>
        </w:rPr>
      </w:pPr>
      <w:r w:rsidRPr="00EC0A53">
        <w:rPr>
          <w:rFonts w:ascii="Aptos" w:hAnsi="Aptos" w:cs="Calibri"/>
          <w:i/>
          <w:iCs/>
        </w:rPr>
        <w:t>Réseau Associatif de Développement Durable des Oasis</w:t>
      </w:r>
      <w:r w:rsidRPr="00D401FA">
        <w:rPr>
          <w:rFonts w:ascii="Aptos" w:hAnsi="Aptos" w:cs="Calibri"/>
        </w:rPr>
        <w:t xml:space="preserve"> (RADDO), actif en Mauritanie, au Maroc, en Algérie et en Tunisie, contribuant à la protection des oasis à travers la promotion d’un développement durable et intégré ;</w:t>
      </w:r>
    </w:p>
    <w:p w14:paraId="3313079F" w14:textId="77777777" w:rsidR="00347340" w:rsidRPr="00D401FA" w:rsidRDefault="00347340" w:rsidP="008B048C">
      <w:pPr>
        <w:numPr>
          <w:ilvl w:val="0"/>
          <w:numId w:val="16"/>
        </w:numPr>
        <w:spacing w:after="0"/>
        <w:ind w:left="714" w:hanging="357"/>
        <w:jc w:val="both"/>
        <w:rPr>
          <w:rFonts w:ascii="Aptos" w:hAnsi="Aptos" w:cs="Calibri"/>
        </w:rPr>
      </w:pPr>
      <w:r w:rsidRPr="00EC0A53">
        <w:rPr>
          <w:rFonts w:ascii="Aptos" w:hAnsi="Aptos" w:cs="Calibri"/>
          <w:i/>
          <w:iCs/>
        </w:rPr>
        <w:t>Oxfam</w:t>
      </w:r>
      <w:r w:rsidRPr="00D401FA">
        <w:rPr>
          <w:rFonts w:ascii="Aptos" w:hAnsi="Aptos" w:cs="Calibri"/>
        </w:rPr>
        <w:t>, présent en Mauritanie depuis 1983, qui appuie notamment le développement de mouvements en faveur d’une gouvernance foncière garantissant les droits fonciers des populations rurales, en particulier les droits d’accès et d’usage des femmes.</w:t>
      </w:r>
    </w:p>
    <w:p w14:paraId="7C183227" w14:textId="6C36A2C7" w:rsidR="00347340" w:rsidRPr="00D401FA" w:rsidRDefault="00347340" w:rsidP="00216CAF">
      <w:pPr>
        <w:jc w:val="both"/>
        <w:rPr>
          <w:rFonts w:ascii="Aptos" w:hAnsi="Aptos" w:cs="Calibri"/>
        </w:rPr>
      </w:pPr>
    </w:p>
    <w:p w14:paraId="474908BD" w14:textId="77777777" w:rsidR="00347340" w:rsidRPr="00EC0A53" w:rsidRDefault="00347340" w:rsidP="00216CAF">
      <w:pPr>
        <w:jc w:val="both"/>
        <w:rPr>
          <w:rFonts w:ascii="Aptos" w:hAnsi="Aptos" w:cs="Calibri"/>
          <w:b/>
          <w:bCs/>
          <w:i/>
          <w:iCs/>
        </w:rPr>
      </w:pPr>
      <w:r w:rsidRPr="00EC0A53">
        <w:rPr>
          <w:rFonts w:ascii="Aptos" w:hAnsi="Aptos" w:cs="Calibri"/>
          <w:b/>
          <w:bCs/>
          <w:i/>
          <w:iCs/>
        </w:rPr>
        <w:t>Agences des Nations Unies</w:t>
      </w:r>
    </w:p>
    <w:p w14:paraId="57E11D31" w14:textId="77777777" w:rsidR="00347340" w:rsidRPr="00D401FA" w:rsidRDefault="00347340" w:rsidP="008B048C">
      <w:pPr>
        <w:numPr>
          <w:ilvl w:val="0"/>
          <w:numId w:val="17"/>
        </w:numPr>
        <w:spacing w:after="0"/>
        <w:ind w:left="714" w:hanging="357"/>
        <w:jc w:val="both"/>
        <w:rPr>
          <w:rFonts w:ascii="Aptos" w:hAnsi="Aptos" w:cs="Calibri"/>
        </w:rPr>
      </w:pPr>
      <w:r w:rsidRPr="00D401FA">
        <w:rPr>
          <w:rFonts w:ascii="Aptos" w:hAnsi="Aptos" w:cs="Calibri"/>
        </w:rPr>
        <w:t xml:space="preserve">Le </w:t>
      </w:r>
      <w:r w:rsidRPr="00EC0A53">
        <w:rPr>
          <w:rFonts w:ascii="Aptos" w:hAnsi="Aptos" w:cs="Calibri"/>
          <w:b/>
          <w:bCs/>
          <w:i/>
          <w:iCs/>
        </w:rPr>
        <w:t>Programme des Nations Unies pour le développement</w:t>
      </w:r>
      <w:r w:rsidRPr="00D401FA">
        <w:rPr>
          <w:rFonts w:ascii="Aptos" w:hAnsi="Aptos" w:cs="Calibri"/>
        </w:rPr>
        <w:t xml:space="preserve"> (PNUD) intervient en Mauritanie autour de trois axes stratégiques : gouvernance démocratique, autonomisation des femmes et développement durable et croissance inclusive ;</w:t>
      </w:r>
    </w:p>
    <w:p w14:paraId="7229B52B" w14:textId="77777777" w:rsidR="00347340" w:rsidRPr="00D401FA" w:rsidRDefault="00347340" w:rsidP="008B048C">
      <w:pPr>
        <w:numPr>
          <w:ilvl w:val="0"/>
          <w:numId w:val="17"/>
        </w:numPr>
        <w:spacing w:after="0"/>
        <w:ind w:left="714" w:hanging="357"/>
        <w:jc w:val="both"/>
        <w:rPr>
          <w:rFonts w:ascii="Aptos" w:hAnsi="Aptos" w:cs="Calibri"/>
        </w:rPr>
      </w:pPr>
      <w:r w:rsidRPr="00D401FA">
        <w:rPr>
          <w:rFonts w:ascii="Aptos" w:hAnsi="Aptos" w:cs="Calibri"/>
        </w:rPr>
        <w:t xml:space="preserve">Le </w:t>
      </w:r>
      <w:r w:rsidRPr="00EC0A53">
        <w:rPr>
          <w:rFonts w:ascii="Aptos" w:hAnsi="Aptos" w:cs="Calibri"/>
          <w:b/>
          <w:bCs/>
          <w:i/>
          <w:iCs/>
        </w:rPr>
        <w:t>Fonds des Nations Unies pour l’enfance</w:t>
      </w:r>
      <w:r w:rsidRPr="00D401FA">
        <w:rPr>
          <w:rFonts w:ascii="Aptos" w:hAnsi="Aptos" w:cs="Calibri"/>
        </w:rPr>
        <w:t xml:space="preserve"> (UNICEF) œuvre pour les droits et le bien-être des enfants dans les domaines de la santé, de la nutrition, de l’eau, de l’assainissement et de l’éducation ;</w:t>
      </w:r>
    </w:p>
    <w:p w14:paraId="451820B1" w14:textId="77777777" w:rsidR="00347340" w:rsidRPr="00D401FA" w:rsidRDefault="00347340" w:rsidP="008B048C">
      <w:pPr>
        <w:numPr>
          <w:ilvl w:val="0"/>
          <w:numId w:val="17"/>
        </w:numPr>
        <w:spacing w:after="0"/>
        <w:ind w:left="714" w:hanging="357"/>
        <w:jc w:val="both"/>
        <w:rPr>
          <w:rFonts w:ascii="Aptos" w:hAnsi="Aptos" w:cs="Calibri"/>
        </w:rPr>
      </w:pPr>
      <w:r w:rsidRPr="00D401FA">
        <w:rPr>
          <w:rFonts w:ascii="Aptos" w:hAnsi="Aptos" w:cs="Calibri"/>
        </w:rPr>
        <w:t xml:space="preserve">Le </w:t>
      </w:r>
      <w:r w:rsidRPr="00EC0A53">
        <w:rPr>
          <w:rFonts w:ascii="Aptos" w:hAnsi="Aptos" w:cs="Calibri"/>
          <w:b/>
          <w:bCs/>
          <w:i/>
          <w:iCs/>
        </w:rPr>
        <w:t>Programme alimentaire mondial</w:t>
      </w:r>
      <w:r w:rsidRPr="00D401FA">
        <w:rPr>
          <w:rFonts w:ascii="Aptos" w:hAnsi="Aptos" w:cs="Calibri"/>
        </w:rPr>
        <w:t xml:space="preserve"> (PAM) lutte contre la faim, renforce la résilience et améliore la sécurité alimentaire, notamment à travers le renforcement des capacités de réponse aux crises, le développement des capacités institutionnelles et l’assistance technique ;</w:t>
      </w:r>
    </w:p>
    <w:p w14:paraId="49AAF9B2" w14:textId="77777777" w:rsidR="00347340" w:rsidRPr="00D401FA" w:rsidRDefault="00347340" w:rsidP="008B048C">
      <w:pPr>
        <w:numPr>
          <w:ilvl w:val="0"/>
          <w:numId w:val="17"/>
        </w:numPr>
        <w:spacing w:after="0"/>
        <w:ind w:left="714" w:hanging="357"/>
        <w:jc w:val="both"/>
        <w:rPr>
          <w:rFonts w:ascii="Aptos" w:hAnsi="Aptos" w:cs="Calibri"/>
        </w:rPr>
      </w:pPr>
      <w:r w:rsidRPr="00EC0A53">
        <w:rPr>
          <w:rFonts w:ascii="Aptos" w:hAnsi="Aptos" w:cs="Calibri"/>
        </w:rPr>
        <w:t>L’</w:t>
      </w:r>
      <w:r w:rsidRPr="00EC0A53">
        <w:rPr>
          <w:rFonts w:ascii="Aptos" w:hAnsi="Aptos" w:cs="Calibri"/>
          <w:b/>
          <w:bCs/>
          <w:i/>
          <w:iCs/>
        </w:rPr>
        <w:t>Organisation des Nations Unies pour l’alimentation et l’agriculture</w:t>
      </w:r>
      <w:r w:rsidRPr="00D401FA">
        <w:rPr>
          <w:rFonts w:ascii="Aptos" w:hAnsi="Aptos" w:cs="Calibri"/>
        </w:rPr>
        <w:t xml:space="preserve"> (FAO) promeut la sécurité alimentaire, la nutrition et le développement durable du secteur agricole, et cherche à améliorer les conditions de vie des populations rurales en renforçant leur résilience face aux défis environnementaux et économiques.</w:t>
      </w:r>
    </w:p>
    <w:p w14:paraId="6473882C" w14:textId="77777777" w:rsidR="00EC0A53" w:rsidRDefault="00EC0A53">
      <w:pPr>
        <w:rPr>
          <w:rFonts w:ascii="Aptos" w:hAnsi="Aptos" w:cs="Calibri"/>
          <w:b/>
          <w:bCs/>
        </w:rPr>
      </w:pPr>
      <w:r>
        <w:rPr>
          <w:rFonts w:ascii="Aptos" w:hAnsi="Aptos" w:cs="Calibri"/>
          <w:b/>
          <w:bCs/>
        </w:rPr>
        <w:br w:type="page"/>
      </w:r>
    </w:p>
    <w:p w14:paraId="1BDECD68" w14:textId="48FD895E" w:rsidR="00A57D4D" w:rsidRPr="00D401FA" w:rsidRDefault="00A57D4D" w:rsidP="00EC0A53">
      <w:pPr>
        <w:pStyle w:val="Heading1"/>
      </w:pPr>
      <w:bookmarkStart w:id="74" w:name="_Toc227686283"/>
      <w:bookmarkStart w:id="75" w:name="_Toc227686321"/>
      <w:bookmarkStart w:id="76" w:name="_Toc227686367"/>
      <w:r w:rsidRPr="00D401FA">
        <w:lastRenderedPageBreak/>
        <w:t>CADRE LÉGISLATIF ET RÉGLEMENTAIRE DE LA GESTION ENVIRONNEMENTALE ET SOCIALE</w:t>
      </w:r>
      <w:bookmarkEnd w:id="74"/>
      <w:bookmarkEnd w:id="75"/>
      <w:bookmarkEnd w:id="76"/>
    </w:p>
    <w:p w14:paraId="4D7ACBFF" w14:textId="5EE3B546" w:rsidR="00A57D4D" w:rsidRPr="00D401FA" w:rsidRDefault="00A57D4D" w:rsidP="00EC0A53">
      <w:pPr>
        <w:pStyle w:val="Heading2"/>
      </w:pPr>
      <w:bookmarkStart w:id="77" w:name="_Toc227686284"/>
      <w:bookmarkStart w:id="78" w:name="_Toc227686322"/>
      <w:bookmarkStart w:id="79" w:name="_Toc227686368"/>
      <w:r w:rsidRPr="00D401FA">
        <w:t>Procédures nationales d’évaluation environnementale</w:t>
      </w:r>
      <w:bookmarkEnd w:id="77"/>
      <w:bookmarkEnd w:id="78"/>
      <w:bookmarkEnd w:id="79"/>
    </w:p>
    <w:p w14:paraId="7AF0DED5" w14:textId="13D10422" w:rsidR="00A57D4D" w:rsidRPr="00EC0A53" w:rsidRDefault="0068719F" w:rsidP="00216CAF">
      <w:pPr>
        <w:jc w:val="both"/>
        <w:rPr>
          <w:rFonts w:ascii="Aptos" w:hAnsi="Aptos" w:cs="Calibri"/>
          <w:b/>
          <w:bCs/>
          <w:i/>
          <w:iCs/>
        </w:rPr>
      </w:pPr>
      <w:r>
        <w:rPr>
          <w:rFonts w:ascii="Aptos" w:hAnsi="Aptos" w:cs="Calibri"/>
          <w:b/>
          <w:bCs/>
          <w:i/>
          <w:iCs/>
        </w:rPr>
        <w:t xml:space="preserve"> Évaluation d’impact environnemental et social </w:t>
      </w:r>
      <w:r w:rsidR="00A57D4D" w:rsidRPr="00EC0A53">
        <w:rPr>
          <w:rFonts w:ascii="Aptos" w:hAnsi="Aptos" w:cs="Calibri"/>
          <w:b/>
          <w:bCs/>
          <w:i/>
          <w:iCs/>
        </w:rPr>
        <w:t>(EIES)</w:t>
      </w:r>
    </w:p>
    <w:p w14:paraId="05A1927C" w14:textId="77777777" w:rsidR="00A57D4D" w:rsidRPr="00D401FA" w:rsidRDefault="00A57D4D" w:rsidP="00216CAF">
      <w:pPr>
        <w:jc w:val="both"/>
        <w:rPr>
          <w:rFonts w:ascii="Aptos" w:hAnsi="Aptos" w:cs="Calibri"/>
        </w:rPr>
      </w:pPr>
      <w:r w:rsidRPr="00D401FA">
        <w:rPr>
          <w:rFonts w:ascii="Aptos" w:hAnsi="Aptos" w:cs="Calibri"/>
        </w:rPr>
        <w:t>En Mauritanie, aucune loi spécifique n’encadre l’évaluation environnementale et sociale et ses instruments. En effet, la prise en compte des considérations environnementales et sociales dans la prise de décision en matière de développement durable est prévue dans le cadre d’une loi environnementale générale.</w:t>
      </w:r>
    </w:p>
    <w:p w14:paraId="227D5153" w14:textId="4D79FE3A" w:rsidR="00A57D4D" w:rsidRPr="00D401FA" w:rsidRDefault="00A57D4D" w:rsidP="00216CAF">
      <w:pPr>
        <w:jc w:val="both"/>
        <w:rPr>
          <w:rFonts w:ascii="Aptos" w:hAnsi="Aptos" w:cs="Calibri"/>
        </w:rPr>
      </w:pPr>
      <w:r w:rsidRPr="00D401FA">
        <w:rPr>
          <w:rFonts w:ascii="Aptos" w:hAnsi="Aptos" w:cs="Calibri"/>
        </w:rPr>
        <w:t>Les procédures nationales relatives à l’</w:t>
      </w:r>
      <w:r w:rsidR="0068719F">
        <w:rPr>
          <w:rFonts w:ascii="Aptos" w:hAnsi="Aptos" w:cs="Calibri"/>
        </w:rPr>
        <w:t xml:space="preserve"> Évaluation d’impact environnemental et social </w:t>
      </w:r>
      <w:r w:rsidRPr="00D401FA">
        <w:rPr>
          <w:rFonts w:ascii="Aptos" w:hAnsi="Aptos" w:cs="Calibri"/>
        </w:rPr>
        <w:t xml:space="preserve">(EIES) ou à la </w:t>
      </w:r>
      <w:r w:rsidR="0068719F">
        <w:rPr>
          <w:rFonts w:ascii="Aptos" w:hAnsi="Aptos" w:cs="Calibri"/>
        </w:rPr>
        <w:t xml:space="preserve">Notice d’impact environnemental et social </w:t>
      </w:r>
      <w:r w:rsidRPr="00D401FA">
        <w:rPr>
          <w:rFonts w:ascii="Aptos" w:hAnsi="Aptos" w:cs="Calibri"/>
        </w:rPr>
        <w:t xml:space="preserve"> (NIES) sont définies par le décret n° 2007-105 modifiant et complétant certaines dispositions du décret n° 2004-094 du 4 novembre 2004 relatif à l’Évaluation d’Impact Environnemental et Social. L’évaluation environnementale et sociale et ses instruments, notamment dans le cadre des procédures d’</w:t>
      </w:r>
      <w:r w:rsidR="0068719F">
        <w:rPr>
          <w:rFonts w:ascii="Aptos" w:hAnsi="Aptos" w:cs="Calibri"/>
        </w:rPr>
        <w:t xml:space="preserve">Étude d’impact environnemental </w:t>
      </w:r>
      <w:r w:rsidRPr="00D401FA">
        <w:rPr>
          <w:rFonts w:ascii="Aptos" w:hAnsi="Aptos" w:cs="Calibri"/>
        </w:rPr>
        <w:t xml:space="preserve">(EIE) ou de </w:t>
      </w:r>
      <w:r w:rsidR="0068719F">
        <w:rPr>
          <w:rFonts w:ascii="Aptos" w:hAnsi="Aptos" w:cs="Calibri"/>
        </w:rPr>
        <w:t xml:space="preserve">Notice d’impact environnemental et social </w:t>
      </w:r>
      <w:r w:rsidRPr="00D401FA">
        <w:rPr>
          <w:rFonts w:ascii="Aptos" w:hAnsi="Aptos" w:cs="Calibri"/>
        </w:rPr>
        <w:t xml:space="preserve"> (NIES), sont également prévus par la loi-cadre environnementale, à savoir la loi n° 2000-045 portant Code de l’environnement du 26 juillet 2000, ainsi que ses décrets d’application relatifs aux EIE (décret n° 2007-105 modifiant et complétant certaines dispositions du décret n° 2004-094) (voir encadré 5 ci-dessous). Les politiques environnementales générales et la loi-cadre sur l’environnement traitent des questions de l’EIE, des enquêtes publiques, des audiences publiques, ainsi que des analyses de conformité et de mise en application.</w:t>
      </w:r>
    </w:p>
    <w:p w14:paraId="3CA5B26C" w14:textId="77777777" w:rsidR="00A57D4D" w:rsidRPr="00D401FA" w:rsidRDefault="00A57D4D" w:rsidP="00216CAF">
      <w:pPr>
        <w:jc w:val="both"/>
        <w:rPr>
          <w:rFonts w:ascii="Aptos" w:hAnsi="Aptos" w:cs="Calibri"/>
        </w:rPr>
      </w:pPr>
      <w:r w:rsidRPr="00D401FA">
        <w:rPr>
          <w:rFonts w:ascii="Aptos" w:hAnsi="Aptos" w:cs="Calibri"/>
        </w:rPr>
        <w:t>Pour l’application du Code de l’environnement, deux décrets ont été adoptés :</w:t>
      </w:r>
    </w:p>
    <w:p w14:paraId="3BBAA7D6" w14:textId="0B7A9D6C" w:rsidR="00A57D4D" w:rsidRPr="00D401FA" w:rsidRDefault="00A57D4D" w:rsidP="008B048C">
      <w:pPr>
        <w:numPr>
          <w:ilvl w:val="0"/>
          <w:numId w:val="18"/>
        </w:numPr>
        <w:spacing w:after="0"/>
        <w:ind w:left="714" w:hanging="357"/>
        <w:jc w:val="both"/>
        <w:rPr>
          <w:rFonts w:ascii="Aptos" w:hAnsi="Aptos" w:cs="Calibri"/>
        </w:rPr>
      </w:pPr>
      <w:r w:rsidRPr="00D401FA">
        <w:rPr>
          <w:rFonts w:ascii="Aptos" w:hAnsi="Aptos" w:cs="Calibri"/>
        </w:rPr>
        <w:t>le décret n° 2007-105 modifiant et complétant certaines dispositions du décret n° 2004-094 du 4 novembre 2004 relatif à l’</w:t>
      </w:r>
      <w:r w:rsidR="0068719F">
        <w:rPr>
          <w:rFonts w:ascii="Aptos" w:hAnsi="Aptos" w:cs="Calibri"/>
        </w:rPr>
        <w:t xml:space="preserve"> Évaluation d’impact environnemental et social </w:t>
      </w:r>
      <w:r w:rsidRPr="00D401FA">
        <w:rPr>
          <w:rFonts w:ascii="Aptos" w:hAnsi="Aptos" w:cs="Calibri"/>
        </w:rPr>
        <w:t>(voir encadré 6 ci-dessous) ;</w:t>
      </w:r>
    </w:p>
    <w:p w14:paraId="02C584FA" w14:textId="77777777" w:rsidR="00A57D4D" w:rsidRPr="00D401FA" w:rsidRDefault="00A57D4D" w:rsidP="008B048C">
      <w:pPr>
        <w:numPr>
          <w:ilvl w:val="0"/>
          <w:numId w:val="18"/>
        </w:numPr>
        <w:spacing w:after="0"/>
        <w:ind w:left="714" w:hanging="357"/>
        <w:jc w:val="both"/>
        <w:rPr>
          <w:rFonts w:ascii="Aptos" w:hAnsi="Aptos" w:cs="Calibri"/>
        </w:rPr>
      </w:pPr>
      <w:r w:rsidRPr="00D401FA">
        <w:rPr>
          <w:rFonts w:ascii="Aptos" w:hAnsi="Aptos" w:cs="Calibri"/>
        </w:rPr>
        <w:t>le décret n° 2004-094 du 4 novembre 2004 relatif à l’Évaluation d’Impact Environnemental et Social.</w:t>
      </w:r>
    </w:p>
    <w:p w14:paraId="6E8B2231" w14:textId="0CF27F21" w:rsidR="00A57D4D" w:rsidRPr="00D401FA" w:rsidRDefault="00A57D4D" w:rsidP="00EC0A53">
      <w:pPr>
        <w:spacing w:before="120"/>
        <w:jc w:val="both"/>
        <w:rPr>
          <w:rFonts w:ascii="Aptos" w:hAnsi="Aptos" w:cs="Calibri"/>
        </w:rPr>
      </w:pPr>
      <w:r w:rsidRPr="00D401FA">
        <w:rPr>
          <w:rFonts w:ascii="Aptos" w:hAnsi="Aptos" w:cs="Calibri"/>
        </w:rPr>
        <w:t>Le décret n° 2007-105 de la République islamique de Mauritanie modifie et complète certaines dispositions du décret n° 2004-094 du 4 novembre 2004 relatif à l’</w:t>
      </w:r>
      <w:r w:rsidR="0068719F">
        <w:rPr>
          <w:rFonts w:ascii="Aptos" w:hAnsi="Aptos" w:cs="Calibri"/>
        </w:rPr>
        <w:t xml:space="preserve">Étude d’impact environnemental </w:t>
      </w:r>
      <w:r w:rsidRPr="00D401FA">
        <w:rPr>
          <w:rFonts w:ascii="Aptos" w:hAnsi="Aptos" w:cs="Calibri"/>
        </w:rPr>
        <w:t>(EIE). Les principales modifications introduites par ce décret sont les suivantes</w:t>
      </w:r>
      <w:r w:rsidR="00EC0A53">
        <w:rPr>
          <w:rFonts w:ascii="Aptos" w:hAnsi="Aptos" w:cs="Calibri"/>
        </w:rPr>
        <w:t> </w:t>
      </w:r>
      <w:r w:rsidRPr="00D401FA">
        <w:rPr>
          <w:rFonts w:ascii="Aptos" w:hAnsi="Aptos" w:cs="Calibri"/>
        </w:rPr>
        <w:t>:</w:t>
      </w:r>
    </w:p>
    <w:p w14:paraId="6AAB948E" w14:textId="0BDBDA16" w:rsidR="00A57D4D" w:rsidRPr="00D401FA" w:rsidRDefault="0068719F" w:rsidP="008B048C">
      <w:pPr>
        <w:numPr>
          <w:ilvl w:val="0"/>
          <w:numId w:val="19"/>
        </w:numPr>
        <w:spacing w:after="0"/>
        <w:ind w:left="714" w:hanging="357"/>
        <w:jc w:val="both"/>
        <w:rPr>
          <w:rFonts w:ascii="Aptos" w:hAnsi="Aptos" w:cs="Calibri"/>
        </w:rPr>
      </w:pPr>
      <w:r>
        <w:rPr>
          <w:rFonts w:ascii="Aptos" w:hAnsi="Aptos" w:cs="Calibri"/>
          <w:i/>
          <w:iCs/>
        </w:rPr>
        <w:t xml:space="preserve">Notice d’impact environnemental et social </w:t>
      </w:r>
      <w:r w:rsidR="00A57D4D" w:rsidRPr="00EC0A53">
        <w:rPr>
          <w:rFonts w:ascii="Aptos" w:hAnsi="Aptos" w:cs="Calibri"/>
          <w:i/>
          <w:iCs/>
        </w:rPr>
        <w:t xml:space="preserve"> (NIES)</w:t>
      </w:r>
      <w:r w:rsidR="00A57D4D" w:rsidRPr="00D401FA">
        <w:rPr>
          <w:rFonts w:ascii="Aptos" w:hAnsi="Aptos" w:cs="Calibri"/>
        </w:rPr>
        <w:t xml:space="preserve"> : la notice constitue une forme simplifiée d’évaluation d’impact environnemental et social, applicable aux projets de catégorie B tels que prévus à l’article 4 du décret. Des directives et des termes de référence en définissent le contenu et les exigences minimales auxquelles les promoteurs doivent satisfaire.</w:t>
      </w:r>
    </w:p>
    <w:p w14:paraId="536F0BF0" w14:textId="025C4CD6" w:rsidR="00A57D4D" w:rsidRPr="00D401FA" w:rsidRDefault="0068719F" w:rsidP="008B048C">
      <w:pPr>
        <w:numPr>
          <w:ilvl w:val="0"/>
          <w:numId w:val="19"/>
        </w:numPr>
        <w:spacing w:after="240"/>
        <w:ind w:left="714" w:hanging="357"/>
        <w:jc w:val="both"/>
        <w:rPr>
          <w:rFonts w:ascii="Aptos" w:hAnsi="Aptos" w:cs="Calibri"/>
        </w:rPr>
      </w:pPr>
      <w:r>
        <w:rPr>
          <w:rFonts w:ascii="Aptos" w:hAnsi="Aptos" w:cs="Calibri"/>
          <w:i/>
          <w:iCs/>
        </w:rPr>
        <w:t xml:space="preserve">Étude d’impact environnemental </w:t>
      </w:r>
      <w:r w:rsidR="00A57D4D" w:rsidRPr="00EC0A53">
        <w:rPr>
          <w:rFonts w:ascii="Aptos" w:hAnsi="Aptos" w:cs="Calibri"/>
          <w:i/>
          <w:iCs/>
        </w:rPr>
        <w:t>(EIE)</w:t>
      </w:r>
      <w:r w:rsidR="00A57D4D" w:rsidRPr="00D401FA">
        <w:rPr>
          <w:rFonts w:ascii="Aptos" w:hAnsi="Aptos" w:cs="Calibri"/>
        </w:rPr>
        <w:t xml:space="preserve"> : ce document est requis pour l’évaluation des effets environnementaux et sociaux directs, indirects et cumulatifs à court, moyen et long termes pour tout projet soumis. Il est joint à la demande d’autorisation préalablement à la réalisation des activités concernées. Le processus d’évaluation d’impact vise à maximiser les bénéfices pour les promoteurs de projets tout en prenant en compte les connaissances et les avis du public et des parties prenantes.</w:t>
      </w:r>
    </w:p>
    <w:p w14:paraId="5E0CF291" w14:textId="77777777" w:rsidR="00EC0A53" w:rsidRDefault="00EC0A53">
      <w:pPr>
        <w:rPr>
          <w:rFonts w:ascii="Aptos" w:hAnsi="Aptos" w:cs="Calibri"/>
          <w:b/>
          <w:bCs/>
        </w:rPr>
      </w:pPr>
      <w:r>
        <w:rPr>
          <w:rFonts w:ascii="Aptos" w:hAnsi="Aptos" w:cs="Calibri"/>
          <w:b/>
          <w:bCs/>
        </w:rPr>
        <w:br w:type="page"/>
      </w:r>
    </w:p>
    <w:p w14:paraId="6629D5CB" w14:textId="462394B6" w:rsidR="00A57D4D" w:rsidRPr="00D401FA" w:rsidRDefault="00A57D4D" w:rsidP="00216CAF">
      <w:pPr>
        <w:jc w:val="both"/>
        <w:rPr>
          <w:rFonts w:ascii="Aptos" w:hAnsi="Aptos" w:cs="Calibri"/>
        </w:rPr>
      </w:pPr>
      <w:r w:rsidRPr="00D401FA">
        <w:rPr>
          <w:rFonts w:ascii="Aptos" w:hAnsi="Aptos" w:cs="Calibri"/>
          <w:b/>
          <w:bCs/>
        </w:rPr>
        <w:lastRenderedPageBreak/>
        <w:t>Encadré 5 : Loi n° 2000-045 portant Code de l’environnement du 26 juillet 2000</w:t>
      </w:r>
    </w:p>
    <w:tbl>
      <w:tblPr>
        <w:tblStyle w:val="TableGrid"/>
        <w:tblW w:w="0" w:type="auto"/>
        <w:tblLook w:val="04A0" w:firstRow="1" w:lastRow="0" w:firstColumn="1" w:lastColumn="0" w:noHBand="0" w:noVBand="1"/>
      </w:tblPr>
      <w:tblGrid>
        <w:gridCol w:w="9062"/>
      </w:tblGrid>
      <w:tr w:rsidR="008B24F6" w:rsidRPr="00D401FA" w14:paraId="133DC58B" w14:textId="77777777" w:rsidTr="00F34F90">
        <w:tc>
          <w:tcPr>
            <w:tcW w:w="9062" w:type="dxa"/>
            <w:shd w:val="clear" w:color="auto" w:fill="EDEDED" w:themeFill="accent3" w:themeFillTint="33"/>
          </w:tcPr>
          <w:p w14:paraId="0DF98AE6" w14:textId="77777777" w:rsidR="008B24F6" w:rsidRPr="00C57F48" w:rsidRDefault="008B24F6" w:rsidP="00CA4278">
            <w:pPr>
              <w:spacing w:after="160"/>
              <w:jc w:val="both"/>
              <w:rPr>
                <w:rFonts w:ascii="Aptos" w:hAnsi="Aptos" w:cs="Calibri"/>
                <w:sz w:val="20"/>
                <w:szCs w:val="20"/>
              </w:rPr>
            </w:pPr>
            <w:r w:rsidRPr="00C57F48">
              <w:rPr>
                <w:rFonts w:ascii="Aptos" w:hAnsi="Aptos" w:cs="Calibri"/>
                <w:sz w:val="20"/>
                <w:szCs w:val="20"/>
              </w:rPr>
              <w:t>La loi n° 2000-045 de la République islamique de Mauritanie, également appelée Code de l’environnement, a été promulguée le 26 juillet 2000. Elle a pour objet d’établir les principes généraux sur lesquels repose la politique nationale de protection de l’environnement et de servir de cadre à l’harmonisation des impératifs écologiques avec les exigences du développement économique et social durable. Les principaux éléments de cette loi sont les suivants :</w:t>
            </w:r>
          </w:p>
          <w:p w14:paraId="395251C0" w14:textId="77777777" w:rsidR="008B24F6" w:rsidRPr="00C57F48" w:rsidRDefault="008B24F6" w:rsidP="008B048C">
            <w:pPr>
              <w:numPr>
                <w:ilvl w:val="0"/>
                <w:numId w:val="20"/>
              </w:numPr>
              <w:jc w:val="both"/>
              <w:rPr>
                <w:rFonts w:ascii="Aptos" w:hAnsi="Aptos" w:cs="Calibri"/>
                <w:sz w:val="20"/>
                <w:szCs w:val="20"/>
              </w:rPr>
            </w:pPr>
            <w:r w:rsidRPr="00CA4278">
              <w:rPr>
                <w:rFonts w:ascii="Aptos" w:hAnsi="Aptos" w:cs="Calibri"/>
                <w:i/>
                <w:iCs/>
                <w:sz w:val="20"/>
                <w:szCs w:val="20"/>
              </w:rPr>
              <w:t>Définition de l’environnement</w:t>
            </w:r>
            <w:r w:rsidRPr="00C57F48">
              <w:rPr>
                <w:rFonts w:ascii="Aptos" w:hAnsi="Aptos" w:cs="Calibri"/>
                <w:sz w:val="20"/>
                <w:szCs w:val="20"/>
              </w:rPr>
              <w:t xml:space="preserve"> : selon cette loi, l’environnement est défini comme l’ensemble des éléments physiques, chimiques et biologiques, naturels ou artificiels, ainsi que des facteurs économiques, sociaux et culturels susceptibles d’avoir un effet direct ou indirect sur l’environnement, les ressources naturelles et les êtres vivants, conditionnant ainsi le bien-être de l’homme.</w:t>
            </w:r>
          </w:p>
          <w:p w14:paraId="2617156F" w14:textId="77777777" w:rsidR="008B24F6" w:rsidRPr="00C57F48" w:rsidRDefault="008B24F6" w:rsidP="008B048C">
            <w:pPr>
              <w:numPr>
                <w:ilvl w:val="0"/>
                <w:numId w:val="20"/>
              </w:numPr>
              <w:jc w:val="both"/>
              <w:rPr>
                <w:rFonts w:ascii="Aptos" w:hAnsi="Aptos" w:cs="Calibri"/>
                <w:sz w:val="20"/>
                <w:szCs w:val="20"/>
              </w:rPr>
            </w:pPr>
            <w:r w:rsidRPr="00CA4278">
              <w:rPr>
                <w:rFonts w:ascii="Aptos" w:hAnsi="Aptos" w:cs="Calibri"/>
                <w:sz w:val="20"/>
                <w:szCs w:val="20"/>
              </w:rPr>
              <w:t>Objectifs de la politique nationale de l’environnement</w:t>
            </w:r>
            <w:r w:rsidRPr="00C57F48">
              <w:rPr>
                <w:rFonts w:ascii="Aptos" w:hAnsi="Aptos" w:cs="Calibri"/>
                <w:sz w:val="20"/>
                <w:szCs w:val="20"/>
              </w:rPr>
              <w:t xml:space="preserve"> :</w:t>
            </w:r>
          </w:p>
          <w:p w14:paraId="5E9DFF44" w14:textId="7EB9E8FC" w:rsidR="008B24F6" w:rsidRPr="00C57F48" w:rsidRDefault="00CA4278" w:rsidP="008B048C">
            <w:pPr>
              <w:numPr>
                <w:ilvl w:val="1"/>
                <w:numId w:val="38"/>
              </w:numPr>
              <w:jc w:val="both"/>
              <w:rPr>
                <w:rFonts w:ascii="Aptos" w:hAnsi="Aptos" w:cs="Calibri"/>
                <w:sz w:val="20"/>
                <w:szCs w:val="20"/>
              </w:rPr>
            </w:pPr>
            <w:r>
              <w:rPr>
                <w:rFonts w:ascii="Aptos" w:hAnsi="Aptos" w:cs="Calibri"/>
                <w:sz w:val="20"/>
                <w:szCs w:val="20"/>
              </w:rPr>
              <w:t>C</w:t>
            </w:r>
            <w:r w:rsidR="008B24F6" w:rsidRPr="00C57F48">
              <w:rPr>
                <w:rFonts w:ascii="Aptos" w:hAnsi="Aptos" w:cs="Calibri"/>
                <w:sz w:val="20"/>
                <w:szCs w:val="20"/>
              </w:rPr>
              <w:t>onservation de la diversité biologique et utilisation rationnelle des ressources naturelles ;</w:t>
            </w:r>
          </w:p>
          <w:p w14:paraId="6E56B987" w14:textId="5C952476" w:rsidR="008B24F6" w:rsidRPr="00C57F48" w:rsidRDefault="00CA4278" w:rsidP="008B048C">
            <w:pPr>
              <w:numPr>
                <w:ilvl w:val="1"/>
                <w:numId w:val="38"/>
              </w:numPr>
              <w:jc w:val="both"/>
              <w:rPr>
                <w:rFonts w:ascii="Aptos" w:hAnsi="Aptos" w:cs="Calibri"/>
                <w:sz w:val="20"/>
                <w:szCs w:val="20"/>
              </w:rPr>
            </w:pPr>
            <w:r>
              <w:rPr>
                <w:rFonts w:ascii="Aptos" w:hAnsi="Aptos" w:cs="Calibri"/>
                <w:sz w:val="20"/>
                <w:szCs w:val="20"/>
              </w:rPr>
              <w:t>L</w:t>
            </w:r>
            <w:r w:rsidR="008B24F6" w:rsidRPr="00C57F48">
              <w:rPr>
                <w:rFonts w:ascii="Aptos" w:hAnsi="Aptos" w:cs="Calibri"/>
                <w:sz w:val="20"/>
                <w:szCs w:val="20"/>
              </w:rPr>
              <w:t>utte contre la désertification ;</w:t>
            </w:r>
          </w:p>
          <w:p w14:paraId="10186A7B" w14:textId="2A8C0A58" w:rsidR="008B24F6" w:rsidRPr="00C57F48" w:rsidRDefault="00CA4278" w:rsidP="008B048C">
            <w:pPr>
              <w:numPr>
                <w:ilvl w:val="1"/>
                <w:numId w:val="38"/>
              </w:numPr>
              <w:jc w:val="both"/>
              <w:rPr>
                <w:rFonts w:ascii="Aptos" w:hAnsi="Aptos" w:cs="Calibri"/>
                <w:sz w:val="20"/>
                <w:szCs w:val="20"/>
              </w:rPr>
            </w:pPr>
            <w:r>
              <w:rPr>
                <w:rFonts w:ascii="Aptos" w:hAnsi="Aptos" w:cs="Calibri"/>
                <w:sz w:val="20"/>
                <w:szCs w:val="20"/>
              </w:rPr>
              <w:t>L</w:t>
            </w:r>
            <w:r w:rsidR="008B24F6" w:rsidRPr="00C57F48">
              <w:rPr>
                <w:rFonts w:ascii="Aptos" w:hAnsi="Aptos" w:cs="Calibri"/>
                <w:sz w:val="20"/>
                <w:szCs w:val="20"/>
              </w:rPr>
              <w:t>utte contre les pollutions et les nuisances ;</w:t>
            </w:r>
          </w:p>
          <w:p w14:paraId="13B99CAB" w14:textId="0FC0733B" w:rsidR="008B24F6" w:rsidRPr="00C57F48" w:rsidRDefault="00CA4278" w:rsidP="008B048C">
            <w:pPr>
              <w:numPr>
                <w:ilvl w:val="1"/>
                <w:numId w:val="38"/>
              </w:numPr>
              <w:jc w:val="both"/>
              <w:rPr>
                <w:rFonts w:ascii="Aptos" w:hAnsi="Aptos" w:cs="Calibri"/>
                <w:sz w:val="20"/>
                <w:szCs w:val="20"/>
              </w:rPr>
            </w:pPr>
            <w:r>
              <w:rPr>
                <w:rFonts w:ascii="Aptos" w:hAnsi="Aptos" w:cs="Calibri"/>
                <w:sz w:val="20"/>
                <w:szCs w:val="20"/>
              </w:rPr>
              <w:t>A</w:t>
            </w:r>
            <w:r w:rsidR="008B24F6" w:rsidRPr="00C57F48">
              <w:rPr>
                <w:rFonts w:ascii="Aptos" w:hAnsi="Aptos" w:cs="Calibri"/>
                <w:sz w:val="20"/>
                <w:szCs w:val="20"/>
              </w:rPr>
              <w:t>mélioration et protection du cadre de vie ;</w:t>
            </w:r>
          </w:p>
          <w:p w14:paraId="52BC1780" w14:textId="66A5309D" w:rsidR="008B24F6" w:rsidRPr="00C57F48" w:rsidRDefault="00CA4278" w:rsidP="008B048C">
            <w:pPr>
              <w:numPr>
                <w:ilvl w:val="1"/>
                <w:numId w:val="38"/>
              </w:numPr>
              <w:jc w:val="both"/>
              <w:rPr>
                <w:rFonts w:ascii="Aptos" w:hAnsi="Aptos" w:cs="Calibri"/>
                <w:sz w:val="20"/>
                <w:szCs w:val="20"/>
              </w:rPr>
            </w:pPr>
            <w:r>
              <w:rPr>
                <w:rFonts w:ascii="Aptos" w:hAnsi="Aptos" w:cs="Calibri"/>
                <w:sz w:val="20"/>
                <w:szCs w:val="20"/>
              </w:rPr>
              <w:t>H</w:t>
            </w:r>
            <w:r w:rsidR="008B24F6" w:rsidRPr="00C57F48">
              <w:rPr>
                <w:rFonts w:ascii="Aptos" w:hAnsi="Aptos" w:cs="Calibri"/>
                <w:sz w:val="20"/>
                <w:szCs w:val="20"/>
              </w:rPr>
              <w:t>armonisation du développement avec la conservation du milieu naturel.</w:t>
            </w:r>
          </w:p>
          <w:p w14:paraId="14DE5900" w14:textId="77777777" w:rsidR="008B24F6" w:rsidRPr="00C57F48" w:rsidRDefault="008B24F6" w:rsidP="008B048C">
            <w:pPr>
              <w:numPr>
                <w:ilvl w:val="0"/>
                <w:numId w:val="20"/>
              </w:numPr>
              <w:jc w:val="both"/>
              <w:rPr>
                <w:rFonts w:ascii="Aptos" w:hAnsi="Aptos" w:cs="Calibri"/>
                <w:sz w:val="20"/>
                <w:szCs w:val="20"/>
              </w:rPr>
            </w:pPr>
            <w:r w:rsidRPr="00CA4278">
              <w:rPr>
                <w:rFonts w:ascii="Aptos" w:hAnsi="Aptos" w:cs="Calibri"/>
                <w:i/>
                <w:iCs/>
                <w:sz w:val="20"/>
                <w:szCs w:val="20"/>
              </w:rPr>
              <w:t>Principes fondamentaux</w:t>
            </w:r>
            <w:r w:rsidRPr="00C57F48">
              <w:rPr>
                <w:rFonts w:ascii="Aptos" w:hAnsi="Aptos" w:cs="Calibri"/>
                <w:sz w:val="20"/>
                <w:szCs w:val="20"/>
              </w:rPr>
              <w:t xml:space="preserve"> :</w:t>
            </w:r>
          </w:p>
          <w:p w14:paraId="31092420" w14:textId="258C3E6A" w:rsidR="008B24F6" w:rsidRPr="00C57F48" w:rsidRDefault="00CA4278" w:rsidP="008B048C">
            <w:pPr>
              <w:numPr>
                <w:ilvl w:val="1"/>
                <w:numId w:val="39"/>
              </w:numPr>
              <w:jc w:val="both"/>
              <w:rPr>
                <w:rFonts w:ascii="Aptos" w:hAnsi="Aptos" w:cs="Calibri"/>
                <w:sz w:val="20"/>
                <w:szCs w:val="20"/>
              </w:rPr>
            </w:pPr>
            <w:r>
              <w:rPr>
                <w:rFonts w:ascii="Aptos" w:hAnsi="Aptos" w:cs="Calibri"/>
                <w:sz w:val="20"/>
                <w:szCs w:val="20"/>
              </w:rPr>
              <w:t>L</w:t>
            </w:r>
            <w:r w:rsidR="008B24F6" w:rsidRPr="00C57F48">
              <w:rPr>
                <w:rFonts w:ascii="Aptos" w:hAnsi="Aptos" w:cs="Calibri"/>
                <w:sz w:val="20"/>
                <w:szCs w:val="20"/>
              </w:rPr>
              <w:t>’environnement constitue un patrimoine national dont la gestion doit concilier les droits des générations présentes et futures ;</w:t>
            </w:r>
          </w:p>
          <w:p w14:paraId="46BBB245" w14:textId="3C7CB3E1" w:rsidR="008B24F6" w:rsidRPr="00C57F48" w:rsidRDefault="00CA4278" w:rsidP="008B048C">
            <w:pPr>
              <w:numPr>
                <w:ilvl w:val="1"/>
                <w:numId w:val="39"/>
              </w:numPr>
              <w:jc w:val="both"/>
              <w:rPr>
                <w:rFonts w:ascii="Aptos" w:hAnsi="Aptos" w:cs="Calibri"/>
                <w:sz w:val="20"/>
                <w:szCs w:val="20"/>
              </w:rPr>
            </w:pPr>
            <w:r>
              <w:rPr>
                <w:rFonts w:ascii="Aptos" w:hAnsi="Aptos" w:cs="Calibri"/>
                <w:sz w:val="20"/>
                <w:szCs w:val="20"/>
              </w:rPr>
              <w:t>L</w:t>
            </w:r>
            <w:r w:rsidR="008B24F6" w:rsidRPr="00C57F48">
              <w:rPr>
                <w:rFonts w:ascii="Aptos" w:hAnsi="Aptos" w:cs="Calibri"/>
                <w:sz w:val="20"/>
                <w:szCs w:val="20"/>
              </w:rPr>
              <w:t>es lois et règlements garantissent à chacun le droit à un environnement sain et équilibré et précisent les modalités de participation des populations à l’élaboration et à la mise en œuvre des politiques environnementales ;</w:t>
            </w:r>
          </w:p>
          <w:p w14:paraId="29B2E852" w14:textId="0035D0D9" w:rsidR="008B24F6" w:rsidRPr="00C57F48" w:rsidRDefault="00CA4278" w:rsidP="008B048C">
            <w:pPr>
              <w:numPr>
                <w:ilvl w:val="1"/>
                <w:numId w:val="39"/>
              </w:numPr>
              <w:jc w:val="both"/>
              <w:rPr>
                <w:rFonts w:ascii="Aptos" w:hAnsi="Aptos" w:cs="Calibri"/>
                <w:sz w:val="20"/>
                <w:szCs w:val="20"/>
              </w:rPr>
            </w:pPr>
            <w:r>
              <w:rPr>
                <w:rFonts w:ascii="Aptos" w:hAnsi="Aptos" w:cs="Calibri"/>
                <w:sz w:val="20"/>
                <w:szCs w:val="20"/>
              </w:rPr>
              <w:t>L</w:t>
            </w:r>
            <w:r w:rsidR="008B24F6" w:rsidRPr="00C57F48">
              <w:rPr>
                <w:rFonts w:ascii="Aptos" w:hAnsi="Aptos" w:cs="Calibri"/>
                <w:sz w:val="20"/>
                <w:szCs w:val="20"/>
              </w:rPr>
              <w:t>e Ministre chargé de l’Environnement peut prendre des mesures de précaution pour protéger l’environnement, même en l’absence de certitude scientifique absolue.</w:t>
            </w:r>
          </w:p>
          <w:p w14:paraId="4F8750CE" w14:textId="77777777" w:rsidR="008B24F6" w:rsidRPr="00C57F48" w:rsidRDefault="008B24F6" w:rsidP="00CA4278">
            <w:pPr>
              <w:spacing w:before="160"/>
              <w:jc w:val="both"/>
              <w:rPr>
                <w:rFonts w:ascii="Aptos" w:hAnsi="Aptos" w:cs="Calibri"/>
                <w:sz w:val="20"/>
                <w:szCs w:val="20"/>
              </w:rPr>
            </w:pPr>
            <w:r w:rsidRPr="00C57F48">
              <w:rPr>
                <w:rFonts w:ascii="Aptos" w:hAnsi="Aptos" w:cs="Calibri"/>
                <w:sz w:val="20"/>
                <w:szCs w:val="20"/>
              </w:rPr>
              <w:t>L’article 7 de cette loi dispose que toute personne physique ou morale, publique ou privée, responsable d’un dommage causé à l’environnement est tenue de réparer ce dommage et d’en supprimer les effets.</w:t>
            </w:r>
          </w:p>
          <w:p w14:paraId="1533BF76" w14:textId="77777777" w:rsidR="008B24F6" w:rsidRPr="00C57F48" w:rsidRDefault="008B24F6" w:rsidP="00CA4278">
            <w:pPr>
              <w:spacing w:before="160"/>
              <w:jc w:val="both"/>
              <w:rPr>
                <w:rFonts w:ascii="Aptos" w:hAnsi="Aptos" w:cs="Calibri"/>
                <w:sz w:val="20"/>
                <w:szCs w:val="20"/>
              </w:rPr>
            </w:pPr>
            <w:r w:rsidRPr="00C57F48">
              <w:rPr>
                <w:rFonts w:ascii="Aptos" w:hAnsi="Aptos" w:cs="Calibri"/>
                <w:sz w:val="20"/>
                <w:szCs w:val="20"/>
              </w:rPr>
              <w:t>Conformément à l’article 57, le Ministre chargé de l’Environnement fixe, par arrêté, la procédure de délivrance des autorisations d’ouverture des installations classées. Cette procédure comprend notamment :</w:t>
            </w:r>
          </w:p>
          <w:p w14:paraId="7D44D66C" w14:textId="77777777" w:rsidR="008B24F6" w:rsidRPr="00C57F48" w:rsidRDefault="008B24F6" w:rsidP="008B048C">
            <w:pPr>
              <w:numPr>
                <w:ilvl w:val="0"/>
                <w:numId w:val="21"/>
              </w:numPr>
              <w:jc w:val="both"/>
              <w:rPr>
                <w:rFonts w:ascii="Aptos" w:hAnsi="Aptos" w:cs="Calibri"/>
                <w:sz w:val="20"/>
                <w:szCs w:val="20"/>
              </w:rPr>
            </w:pPr>
            <w:r w:rsidRPr="00C57F48">
              <w:rPr>
                <w:rFonts w:ascii="Aptos" w:hAnsi="Aptos" w:cs="Calibri"/>
                <w:sz w:val="20"/>
                <w:szCs w:val="20"/>
              </w:rPr>
              <w:t>une étude d’impact environnemental ;</w:t>
            </w:r>
          </w:p>
          <w:p w14:paraId="54E2F527" w14:textId="77777777" w:rsidR="008B24F6" w:rsidRPr="00C57F48" w:rsidRDefault="008B24F6" w:rsidP="008B048C">
            <w:pPr>
              <w:numPr>
                <w:ilvl w:val="0"/>
                <w:numId w:val="21"/>
              </w:numPr>
              <w:jc w:val="both"/>
              <w:rPr>
                <w:rFonts w:ascii="Aptos" w:hAnsi="Aptos" w:cs="Calibri"/>
                <w:sz w:val="20"/>
                <w:szCs w:val="20"/>
              </w:rPr>
            </w:pPr>
            <w:r w:rsidRPr="00C57F48">
              <w:rPr>
                <w:rFonts w:ascii="Aptos" w:hAnsi="Aptos" w:cs="Calibri"/>
                <w:sz w:val="20"/>
                <w:szCs w:val="20"/>
              </w:rPr>
              <w:t>une étude des risques d’accidents et des moyens à mettre en œuvre pour les prévenir et les maîtriser ;</w:t>
            </w:r>
          </w:p>
          <w:p w14:paraId="21E3C631" w14:textId="77777777" w:rsidR="008B24F6" w:rsidRPr="00C57F48" w:rsidRDefault="008B24F6" w:rsidP="008B048C">
            <w:pPr>
              <w:numPr>
                <w:ilvl w:val="0"/>
                <w:numId w:val="21"/>
              </w:numPr>
              <w:jc w:val="both"/>
              <w:rPr>
                <w:rFonts w:ascii="Aptos" w:hAnsi="Aptos" w:cs="Calibri"/>
                <w:sz w:val="20"/>
                <w:szCs w:val="20"/>
              </w:rPr>
            </w:pPr>
            <w:r w:rsidRPr="00C57F48">
              <w:rPr>
                <w:rFonts w:ascii="Aptos" w:hAnsi="Aptos" w:cs="Calibri"/>
                <w:sz w:val="20"/>
                <w:szCs w:val="20"/>
              </w:rPr>
              <w:t xml:space="preserve">la consultation des autorités de la commune ou de la </w:t>
            </w:r>
            <w:proofErr w:type="spellStart"/>
            <w:r w:rsidRPr="00C57F48">
              <w:rPr>
                <w:rFonts w:ascii="Aptos" w:hAnsi="Aptos" w:cs="Calibri"/>
                <w:sz w:val="20"/>
                <w:szCs w:val="20"/>
              </w:rPr>
              <w:t>moughataa</w:t>
            </w:r>
            <w:proofErr w:type="spellEnd"/>
            <w:r w:rsidRPr="00C57F48">
              <w:rPr>
                <w:rFonts w:ascii="Aptos" w:hAnsi="Aptos" w:cs="Calibri"/>
                <w:sz w:val="20"/>
                <w:szCs w:val="20"/>
              </w:rPr>
              <w:t xml:space="preserve"> sur le territoire de laquelle l’installation doit être implantée, ainsi que, le cas échéant, des communes et </w:t>
            </w:r>
            <w:proofErr w:type="spellStart"/>
            <w:r w:rsidRPr="00C57F48">
              <w:rPr>
                <w:rFonts w:ascii="Aptos" w:hAnsi="Aptos" w:cs="Calibri"/>
                <w:sz w:val="20"/>
                <w:szCs w:val="20"/>
              </w:rPr>
              <w:t>moughataas</w:t>
            </w:r>
            <w:proofErr w:type="spellEnd"/>
            <w:r w:rsidRPr="00C57F48">
              <w:rPr>
                <w:rFonts w:ascii="Aptos" w:hAnsi="Aptos" w:cs="Calibri"/>
                <w:sz w:val="20"/>
                <w:szCs w:val="20"/>
              </w:rPr>
              <w:t xml:space="preserve"> voisines et des départements ministériels concernés ;</w:t>
            </w:r>
          </w:p>
          <w:p w14:paraId="3A37044B" w14:textId="77777777" w:rsidR="008B24F6" w:rsidRPr="00C57F48" w:rsidRDefault="008B24F6" w:rsidP="008B048C">
            <w:pPr>
              <w:numPr>
                <w:ilvl w:val="0"/>
                <w:numId w:val="21"/>
              </w:numPr>
              <w:spacing w:after="160"/>
              <w:ind w:left="714" w:hanging="357"/>
              <w:jc w:val="both"/>
              <w:rPr>
                <w:rFonts w:ascii="Aptos" w:hAnsi="Aptos" w:cs="Calibri"/>
                <w:sz w:val="20"/>
                <w:szCs w:val="20"/>
              </w:rPr>
            </w:pPr>
            <w:r w:rsidRPr="00C57F48">
              <w:rPr>
                <w:rFonts w:ascii="Aptos" w:hAnsi="Aptos" w:cs="Calibri"/>
                <w:sz w:val="20"/>
                <w:szCs w:val="20"/>
              </w:rPr>
              <w:t>une enquête publique auprès des populations concernées.</w:t>
            </w:r>
          </w:p>
          <w:p w14:paraId="790A17BE" w14:textId="4D7F348F" w:rsidR="008B24F6" w:rsidRPr="00D401FA" w:rsidRDefault="008B24F6" w:rsidP="00216CAF">
            <w:pPr>
              <w:jc w:val="both"/>
              <w:rPr>
                <w:rFonts w:ascii="Aptos" w:hAnsi="Aptos" w:cs="Calibri"/>
              </w:rPr>
            </w:pPr>
            <w:r w:rsidRPr="00C57F48">
              <w:rPr>
                <w:rFonts w:ascii="Aptos" w:hAnsi="Aptos" w:cs="Calibri"/>
                <w:sz w:val="20"/>
                <w:szCs w:val="20"/>
              </w:rPr>
              <w:t xml:space="preserve">La loi-cadre sur l’environnement </w:t>
            </w:r>
            <w:r w:rsidRPr="00AD7749">
              <w:rPr>
                <w:rFonts w:ascii="Aptos" w:hAnsi="Aptos" w:cs="Calibri"/>
                <w:sz w:val="20"/>
                <w:szCs w:val="20"/>
              </w:rPr>
              <w:t>fait la distinction entre les études d’impact environnemental simplifiées et les études détaillées.</w:t>
            </w:r>
            <w:r w:rsidRPr="00C57F48">
              <w:rPr>
                <w:rFonts w:ascii="Aptos" w:hAnsi="Aptos" w:cs="Calibri"/>
                <w:sz w:val="20"/>
                <w:szCs w:val="20"/>
              </w:rPr>
              <w:t xml:space="preserve"> En effet, les décrets relatifs aux EIE comportent une annexe classant les projets en trois catégories : (i) les projets soumis à la procédure d’EIE, considérés comme relevant d’une évaluation approfondie ; (ii) les projets soumis à la procédure de NIES, considérés comme relevant d’une évaluation simplifiée ; et (iii) les projets non soumis à une EIE ou à une NIES, en raison de l’absence d’impact environnemental significatif.</w:t>
            </w:r>
          </w:p>
        </w:tc>
      </w:tr>
    </w:tbl>
    <w:p w14:paraId="480F28AB" w14:textId="3B9D2AED" w:rsidR="00AE0471" w:rsidRPr="00D401FA" w:rsidRDefault="00AE0471" w:rsidP="00216CAF">
      <w:pPr>
        <w:jc w:val="both"/>
        <w:rPr>
          <w:rFonts w:ascii="Aptos" w:hAnsi="Aptos" w:cs="Calibri"/>
        </w:rPr>
      </w:pPr>
    </w:p>
    <w:p w14:paraId="0EAD11EB" w14:textId="77777777" w:rsidR="00EC0A53" w:rsidRDefault="00EC0A53">
      <w:pPr>
        <w:rPr>
          <w:rFonts w:ascii="Aptos" w:hAnsi="Aptos" w:cs="Calibri"/>
          <w:b/>
          <w:bCs/>
        </w:rPr>
      </w:pPr>
      <w:r>
        <w:rPr>
          <w:rFonts w:ascii="Aptos" w:hAnsi="Aptos" w:cs="Calibri"/>
          <w:b/>
          <w:bCs/>
        </w:rPr>
        <w:br w:type="page"/>
      </w:r>
    </w:p>
    <w:p w14:paraId="0CF06713" w14:textId="31C28675" w:rsidR="003007BA" w:rsidRPr="00D401FA" w:rsidRDefault="003007BA" w:rsidP="00EC0A53">
      <w:pPr>
        <w:spacing w:after="0"/>
        <w:jc w:val="both"/>
        <w:rPr>
          <w:rFonts w:ascii="Aptos" w:hAnsi="Aptos" w:cs="Calibri"/>
          <w:b/>
          <w:bCs/>
        </w:rPr>
      </w:pPr>
      <w:r w:rsidRPr="00D401FA">
        <w:rPr>
          <w:rFonts w:ascii="Aptos" w:hAnsi="Aptos" w:cs="Calibri"/>
          <w:b/>
          <w:bCs/>
        </w:rPr>
        <w:lastRenderedPageBreak/>
        <w:t>Encadré 6 : Décret n° 2007-105 du 13 avril 2007</w:t>
      </w:r>
    </w:p>
    <w:p w14:paraId="7DAEF3EE" w14:textId="77777777" w:rsidR="003007BA" w:rsidRPr="00CA4278" w:rsidRDefault="003007BA" w:rsidP="00EC0A53">
      <w:pPr>
        <w:spacing w:after="0"/>
        <w:jc w:val="both"/>
        <w:rPr>
          <w:rFonts w:ascii="Aptos" w:hAnsi="Aptos" w:cs="Calibri"/>
          <w:i/>
          <w:iCs/>
          <w:sz w:val="20"/>
          <w:szCs w:val="20"/>
        </w:rPr>
      </w:pPr>
      <w:r w:rsidRPr="00CA4278">
        <w:rPr>
          <w:rFonts w:ascii="Aptos" w:hAnsi="Aptos" w:cs="Calibri"/>
          <w:i/>
          <w:iCs/>
          <w:sz w:val="20"/>
          <w:szCs w:val="20"/>
        </w:rPr>
        <w:t>(Ce décret modifie certaines dispositions du décret n° 2004-094 du 4 novembre 2004 relatif à l’étude d’impact environnemental.)</w:t>
      </w:r>
    </w:p>
    <w:p w14:paraId="2CE63E52" w14:textId="77777777" w:rsidR="00EC0A53" w:rsidRPr="00D401FA" w:rsidRDefault="00EC0A53" w:rsidP="00EC0A53">
      <w:pPr>
        <w:spacing w:after="0"/>
        <w:jc w:val="both"/>
        <w:rPr>
          <w:rFonts w:ascii="Aptos" w:hAnsi="Aptos" w:cs="Calibri"/>
        </w:rPr>
      </w:pPr>
    </w:p>
    <w:tbl>
      <w:tblPr>
        <w:tblStyle w:val="TableGrid"/>
        <w:tblW w:w="0" w:type="auto"/>
        <w:tblLook w:val="04A0" w:firstRow="1" w:lastRow="0" w:firstColumn="1" w:lastColumn="0" w:noHBand="0" w:noVBand="1"/>
      </w:tblPr>
      <w:tblGrid>
        <w:gridCol w:w="9062"/>
      </w:tblGrid>
      <w:tr w:rsidR="003007BA" w:rsidRPr="00D401FA" w14:paraId="197DE131" w14:textId="77777777" w:rsidTr="00F34F90">
        <w:tc>
          <w:tcPr>
            <w:tcW w:w="9062" w:type="dxa"/>
            <w:shd w:val="clear" w:color="auto" w:fill="EDEDED" w:themeFill="accent3" w:themeFillTint="33"/>
          </w:tcPr>
          <w:p w14:paraId="3357B3B0" w14:textId="492E8581" w:rsidR="003007BA" w:rsidRPr="00AD7749" w:rsidRDefault="003007BA" w:rsidP="00216CAF">
            <w:pPr>
              <w:spacing w:after="160" w:line="259" w:lineRule="auto"/>
              <w:jc w:val="both"/>
              <w:rPr>
                <w:rFonts w:ascii="Aptos" w:hAnsi="Aptos" w:cs="Calibri"/>
                <w:sz w:val="20"/>
                <w:szCs w:val="20"/>
              </w:rPr>
            </w:pPr>
            <w:r w:rsidRPr="00AD7749">
              <w:rPr>
                <w:rFonts w:ascii="Aptos" w:hAnsi="Aptos" w:cs="Calibri"/>
                <w:sz w:val="20"/>
                <w:szCs w:val="20"/>
              </w:rPr>
              <w:t>Le décret précise les études préalables qui doivent être « réalisées par le promoteur ou son mandataire</w:t>
            </w:r>
            <w:r w:rsidR="00CA4278">
              <w:rPr>
                <w:rFonts w:ascii="Aptos" w:hAnsi="Aptos" w:cs="Calibri"/>
                <w:sz w:val="20"/>
                <w:szCs w:val="20"/>
              </w:rPr>
              <w:t> </w:t>
            </w:r>
            <w:r w:rsidRPr="00AD7749">
              <w:rPr>
                <w:rFonts w:ascii="Aptos" w:hAnsi="Aptos" w:cs="Calibri"/>
                <w:sz w:val="20"/>
                <w:szCs w:val="20"/>
              </w:rPr>
              <w:t>» (article 3). Il fournit notamment les définitions suivantes :</w:t>
            </w:r>
          </w:p>
          <w:p w14:paraId="469545F2" w14:textId="53B7212C" w:rsidR="003007BA" w:rsidRPr="00AD7749" w:rsidRDefault="0068719F" w:rsidP="008B048C">
            <w:pPr>
              <w:numPr>
                <w:ilvl w:val="0"/>
                <w:numId w:val="22"/>
              </w:numPr>
              <w:spacing w:line="259" w:lineRule="auto"/>
              <w:ind w:left="714" w:hanging="357"/>
              <w:jc w:val="both"/>
              <w:rPr>
                <w:rFonts w:ascii="Aptos" w:hAnsi="Aptos" w:cs="Calibri"/>
                <w:sz w:val="20"/>
                <w:szCs w:val="20"/>
              </w:rPr>
            </w:pPr>
            <w:r>
              <w:rPr>
                <w:rFonts w:ascii="Aptos" w:hAnsi="Aptos" w:cs="Calibri"/>
                <w:i/>
                <w:iCs/>
                <w:sz w:val="20"/>
                <w:szCs w:val="20"/>
              </w:rPr>
              <w:t xml:space="preserve">Étude d’impact environnemental </w:t>
            </w:r>
            <w:r w:rsidR="003007BA" w:rsidRPr="00AD7749">
              <w:rPr>
                <w:rFonts w:ascii="Aptos" w:hAnsi="Aptos" w:cs="Calibri"/>
                <w:i/>
                <w:iCs/>
                <w:sz w:val="20"/>
                <w:szCs w:val="20"/>
              </w:rPr>
              <w:t>(EIE)</w:t>
            </w:r>
            <w:r w:rsidR="003007BA" w:rsidRPr="00AD7749">
              <w:rPr>
                <w:rFonts w:ascii="Aptos" w:hAnsi="Aptos" w:cs="Calibri"/>
                <w:sz w:val="20"/>
                <w:szCs w:val="20"/>
              </w:rPr>
              <w:t xml:space="preserve"> : elle permet « d’identifier, d’analyser et d’évaluer les effets directs, indirects et cumulatifs à court, moyen et long termes sur l’environnement et le milieu social de tout projet soumis à la procédure correspondante ».</w:t>
            </w:r>
          </w:p>
          <w:p w14:paraId="67A93B0A" w14:textId="131C9401" w:rsidR="003007BA" w:rsidRPr="00AD7749" w:rsidRDefault="0068719F" w:rsidP="008B048C">
            <w:pPr>
              <w:numPr>
                <w:ilvl w:val="0"/>
                <w:numId w:val="22"/>
              </w:numPr>
              <w:spacing w:line="259" w:lineRule="auto"/>
              <w:ind w:left="714" w:hanging="357"/>
              <w:jc w:val="both"/>
              <w:rPr>
                <w:rFonts w:ascii="Aptos" w:hAnsi="Aptos" w:cs="Calibri"/>
                <w:sz w:val="20"/>
                <w:szCs w:val="20"/>
              </w:rPr>
            </w:pPr>
            <w:r>
              <w:rPr>
                <w:rFonts w:ascii="Aptos" w:hAnsi="Aptos" w:cs="Calibri"/>
                <w:i/>
                <w:iCs/>
                <w:sz w:val="20"/>
                <w:szCs w:val="20"/>
              </w:rPr>
              <w:t xml:space="preserve">Notice d’impact environnemental et social </w:t>
            </w:r>
            <w:r w:rsidR="003007BA" w:rsidRPr="00AD7749">
              <w:rPr>
                <w:rFonts w:ascii="Aptos" w:hAnsi="Aptos" w:cs="Calibri"/>
                <w:i/>
                <w:iCs/>
                <w:sz w:val="20"/>
                <w:szCs w:val="20"/>
              </w:rPr>
              <w:t xml:space="preserve"> (NIES) :</w:t>
            </w:r>
            <w:r w:rsidR="003007BA" w:rsidRPr="00AD7749">
              <w:rPr>
                <w:rFonts w:ascii="Aptos" w:hAnsi="Aptos" w:cs="Calibri"/>
                <w:sz w:val="20"/>
                <w:szCs w:val="20"/>
              </w:rPr>
              <w:t xml:space="preserve"> il s’agit « d’une forme simplifiée d’évaluation d’impact environnemental et social à laquelle sont soumis les projets de catégorie B ».</w:t>
            </w:r>
          </w:p>
          <w:p w14:paraId="624ADE93" w14:textId="77777777" w:rsidR="003007BA" w:rsidRPr="00AD7749" w:rsidRDefault="003007BA" w:rsidP="008B048C">
            <w:pPr>
              <w:numPr>
                <w:ilvl w:val="0"/>
                <w:numId w:val="22"/>
              </w:numPr>
              <w:spacing w:line="259" w:lineRule="auto"/>
              <w:ind w:left="714" w:hanging="357"/>
              <w:jc w:val="both"/>
              <w:rPr>
                <w:rFonts w:ascii="Aptos" w:hAnsi="Aptos" w:cs="Calibri"/>
                <w:sz w:val="20"/>
                <w:szCs w:val="20"/>
              </w:rPr>
            </w:pPr>
            <w:r w:rsidRPr="00AD7749">
              <w:rPr>
                <w:rFonts w:ascii="Aptos" w:hAnsi="Aptos" w:cs="Calibri"/>
                <w:i/>
                <w:iCs/>
                <w:sz w:val="20"/>
                <w:szCs w:val="20"/>
              </w:rPr>
              <w:t>Enquête publique</w:t>
            </w:r>
            <w:r w:rsidRPr="00AD7749">
              <w:rPr>
                <w:rFonts w:ascii="Aptos" w:hAnsi="Aptos" w:cs="Calibri"/>
                <w:sz w:val="20"/>
                <w:szCs w:val="20"/>
              </w:rPr>
              <w:t xml:space="preserve"> : toute « activité visant à recueillir l’avis des populations, du public ou des groupes sociaux susceptibles d’être affectés par un projet, notamment afin d’apprécier l’importance des impacts prévisibles du projet et l’acceptabilité des alternatives ou des mesures d’atténuation envisagées ».</w:t>
            </w:r>
          </w:p>
          <w:p w14:paraId="2D91C3A7" w14:textId="77777777" w:rsidR="00EC0A53" w:rsidRPr="00AD7749" w:rsidRDefault="00EC0A53" w:rsidP="00EC0A53">
            <w:pPr>
              <w:spacing w:line="259" w:lineRule="auto"/>
              <w:ind w:left="714"/>
              <w:jc w:val="both"/>
              <w:rPr>
                <w:rFonts w:ascii="Aptos" w:hAnsi="Aptos" w:cs="Calibri"/>
                <w:sz w:val="20"/>
                <w:szCs w:val="20"/>
              </w:rPr>
            </w:pPr>
          </w:p>
          <w:p w14:paraId="6D49957A" w14:textId="77777777" w:rsidR="003007BA" w:rsidRPr="00AD7749" w:rsidRDefault="003007BA" w:rsidP="00216CAF">
            <w:pPr>
              <w:spacing w:after="160" w:line="259" w:lineRule="auto"/>
              <w:jc w:val="both"/>
              <w:rPr>
                <w:rFonts w:ascii="Aptos" w:hAnsi="Aptos" w:cs="Calibri"/>
                <w:sz w:val="20"/>
                <w:szCs w:val="20"/>
              </w:rPr>
            </w:pPr>
            <w:r w:rsidRPr="00AD7749">
              <w:rPr>
                <w:rFonts w:ascii="Aptos" w:hAnsi="Aptos" w:cs="Calibri"/>
                <w:sz w:val="20"/>
                <w:szCs w:val="20"/>
              </w:rPr>
              <w:t>Les activités susceptibles d’avoir des impacts significatifs directs ou indirects sont classées en deux catégories : catégorie A (activités soumises à une étude d’impact environnemental et social) et catégorie B (activités soumises à une notice d’impact environnemental et social) (article 4).</w:t>
            </w:r>
          </w:p>
          <w:p w14:paraId="3AF84EA0" w14:textId="6769A7E7" w:rsidR="003007BA" w:rsidRPr="00AD7749" w:rsidRDefault="003007BA" w:rsidP="00216CAF">
            <w:pPr>
              <w:spacing w:after="160" w:line="259" w:lineRule="auto"/>
              <w:jc w:val="both"/>
              <w:rPr>
                <w:rFonts w:ascii="Aptos" w:hAnsi="Aptos" w:cs="Calibri"/>
                <w:sz w:val="20"/>
                <w:szCs w:val="20"/>
              </w:rPr>
            </w:pPr>
            <w:r w:rsidRPr="00AD7749">
              <w:rPr>
                <w:rFonts w:ascii="Aptos" w:hAnsi="Aptos" w:cs="Calibri"/>
                <w:sz w:val="20"/>
                <w:szCs w:val="20"/>
              </w:rPr>
              <w:t>La structure et le contenu de l’étude d’impact sont précisés à l’article 7 du décret, notamment en ce qui concerne les impacts directs et indirects sur un site et son environnement (ressources naturelles du sol et du sous-sol, atmosphère, zones agricoles, pastorales, maritimes, côtières ou récréatives, patrimoine culturel, paysages), ainsi que les forêts, les ressources en eau, la sécurité, l’hygiène, la santé publique et l’assainissement, l’équilibre biologique et, le cas échéant, les conditions de vie du voisinage (bruit, vibrations, odeurs, émissions biologiques, etc.). L’étude comprend également un plan de gestion environnementale (avec une définition précise des mesures visant à éviter, réduire et compenser les impacts du projet), une estimation des dommages, un calendrier de mise en œuvre et les résultats attendus. Un modèle d’EIE et de NIES est fourni en annexe du décret. Conformément à l’article 16, l’étude et la notice reposent sur les principes d’équité, de rentabilité économique et d’efficacité. L’article 17 traite de l’information et de la consultation du public, notamment à travers l’organisation de réunions de présentation du projet et « l’ouverture d’un registre accessible à la population » pour recueillir «</w:t>
            </w:r>
            <w:r w:rsidR="00CA4278">
              <w:rPr>
                <w:rFonts w:ascii="Aptos" w:hAnsi="Aptos" w:cs="Calibri"/>
                <w:sz w:val="20"/>
                <w:szCs w:val="20"/>
              </w:rPr>
              <w:t> </w:t>
            </w:r>
            <w:r w:rsidRPr="00AD7749">
              <w:rPr>
                <w:rFonts w:ascii="Aptos" w:hAnsi="Aptos" w:cs="Calibri"/>
                <w:sz w:val="20"/>
                <w:szCs w:val="20"/>
              </w:rPr>
              <w:t>observations, commentaires et suggestions ». L’enquête publique est ouverte pendant 30 jours ; au-delà de ce délai, une synthèse est mise à la disposition du public au niveau de la mairie. Des «</w:t>
            </w:r>
            <w:r w:rsidR="00CA4278">
              <w:rPr>
                <w:rFonts w:ascii="Aptos" w:hAnsi="Aptos" w:cs="Calibri"/>
                <w:sz w:val="20"/>
                <w:szCs w:val="20"/>
              </w:rPr>
              <w:t> </w:t>
            </w:r>
            <w:r w:rsidRPr="00AD7749">
              <w:rPr>
                <w:rFonts w:ascii="Aptos" w:hAnsi="Aptos" w:cs="Calibri"/>
                <w:sz w:val="20"/>
                <w:szCs w:val="20"/>
              </w:rPr>
              <w:t>évaluations, observations, suggestions et contre-propositions » peuvent être formulées. Le Ministre chargé de l’Environnement dispose d’un délai de 20 jours à compter de la réception du rapport d’enquête relatif à l’étude ou à la notice d’impact pour se prononcer sur la faisabilité environnementale du projet ; à défaut, l’avis est réputé favorable.</w:t>
            </w:r>
          </w:p>
          <w:p w14:paraId="62ED19C7" w14:textId="3C9BE4CF" w:rsidR="003007BA" w:rsidRPr="00AD7749" w:rsidRDefault="003007BA" w:rsidP="00216CAF">
            <w:pPr>
              <w:spacing w:after="160" w:line="259" w:lineRule="auto"/>
              <w:jc w:val="both"/>
              <w:rPr>
                <w:rFonts w:ascii="Aptos" w:hAnsi="Aptos" w:cs="Calibri"/>
                <w:sz w:val="20"/>
                <w:szCs w:val="20"/>
              </w:rPr>
            </w:pPr>
            <w:r w:rsidRPr="00AD7749">
              <w:rPr>
                <w:rFonts w:ascii="Aptos" w:hAnsi="Aptos" w:cs="Calibri"/>
                <w:sz w:val="20"/>
                <w:szCs w:val="20"/>
              </w:rPr>
              <w:t xml:space="preserve">Pour l’autorisation de certaines activités, un plan de réhabilitation du site doit être élaboré. Ce plan prévoit les modalités de remise en état et les aménagements spécifiques à réaliser après exploitation, ainsi que la prise en charge des dommages causés en cas d’accident, appuyée par une garantie financière délivrée par une banque opérant sur le territoire mauritanien, </w:t>
            </w:r>
            <w:r w:rsidR="00CA4278">
              <w:rPr>
                <w:rFonts w:ascii="Aptos" w:hAnsi="Aptos" w:cs="Calibri"/>
                <w:sz w:val="20"/>
                <w:szCs w:val="20"/>
              </w:rPr>
              <w:t>dans l’éventualité d’une</w:t>
            </w:r>
            <w:r w:rsidRPr="00AD7749">
              <w:rPr>
                <w:rFonts w:ascii="Aptos" w:hAnsi="Aptos" w:cs="Calibri"/>
                <w:sz w:val="20"/>
                <w:szCs w:val="20"/>
              </w:rPr>
              <w:t xml:space="preserve"> défaillance technique ou de négligence du promoteur. Cette réhabilitation peut être réalisée soit au fur et à mesure de l’avancement des travaux, soit à la clôture du projet. Les activités concernées sont notamment :</w:t>
            </w:r>
          </w:p>
          <w:p w14:paraId="3D02D656" w14:textId="456D75AC" w:rsidR="003007BA" w:rsidRPr="00AD7749" w:rsidRDefault="00CA4278" w:rsidP="008B048C">
            <w:pPr>
              <w:numPr>
                <w:ilvl w:val="0"/>
                <w:numId w:val="23"/>
              </w:numPr>
              <w:spacing w:line="259" w:lineRule="auto"/>
              <w:ind w:left="714" w:hanging="357"/>
              <w:jc w:val="both"/>
              <w:rPr>
                <w:rFonts w:ascii="Aptos" w:hAnsi="Aptos" w:cs="Calibri"/>
                <w:sz w:val="20"/>
                <w:szCs w:val="20"/>
              </w:rPr>
            </w:pPr>
            <w:r>
              <w:rPr>
                <w:rFonts w:ascii="Aptos" w:hAnsi="Aptos" w:cs="Calibri"/>
                <w:sz w:val="20"/>
                <w:szCs w:val="20"/>
              </w:rPr>
              <w:t>l</w:t>
            </w:r>
            <w:r w:rsidR="003007BA" w:rsidRPr="00AD7749">
              <w:rPr>
                <w:rFonts w:ascii="Aptos" w:hAnsi="Aptos" w:cs="Calibri"/>
                <w:sz w:val="20"/>
                <w:szCs w:val="20"/>
              </w:rPr>
              <w:t>a construction et/ou l’ouverture de décharges de déchets ménagers ;</w:t>
            </w:r>
          </w:p>
          <w:p w14:paraId="30E5826D" w14:textId="77777777" w:rsidR="003007BA" w:rsidRPr="00AD7749" w:rsidRDefault="003007BA" w:rsidP="008B048C">
            <w:pPr>
              <w:numPr>
                <w:ilvl w:val="0"/>
                <w:numId w:val="23"/>
              </w:numPr>
              <w:spacing w:line="259" w:lineRule="auto"/>
              <w:ind w:left="714" w:hanging="357"/>
              <w:jc w:val="both"/>
              <w:rPr>
                <w:rFonts w:ascii="Aptos" w:hAnsi="Aptos" w:cs="Calibri"/>
                <w:sz w:val="20"/>
                <w:szCs w:val="20"/>
              </w:rPr>
            </w:pPr>
            <w:r w:rsidRPr="00AD7749">
              <w:rPr>
                <w:rFonts w:ascii="Aptos" w:hAnsi="Aptos" w:cs="Calibri"/>
                <w:sz w:val="20"/>
                <w:szCs w:val="20"/>
              </w:rPr>
              <w:t>la construction et/ou l’ouverture de sites d’élimination de déchets dangereux ;</w:t>
            </w:r>
          </w:p>
          <w:p w14:paraId="6FC959A0" w14:textId="77777777" w:rsidR="003007BA" w:rsidRPr="00AD7749" w:rsidRDefault="003007BA" w:rsidP="008B048C">
            <w:pPr>
              <w:numPr>
                <w:ilvl w:val="0"/>
                <w:numId w:val="23"/>
              </w:numPr>
              <w:spacing w:line="259" w:lineRule="auto"/>
              <w:ind w:left="714" w:hanging="357"/>
              <w:jc w:val="both"/>
              <w:rPr>
                <w:rFonts w:ascii="Aptos" w:hAnsi="Aptos" w:cs="Calibri"/>
                <w:sz w:val="20"/>
                <w:szCs w:val="20"/>
              </w:rPr>
            </w:pPr>
            <w:r w:rsidRPr="00AD7749">
              <w:rPr>
                <w:rFonts w:ascii="Aptos" w:hAnsi="Aptos" w:cs="Calibri"/>
                <w:sz w:val="20"/>
                <w:szCs w:val="20"/>
              </w:rPr>
              <w:t>la construction et/ou l’ouverture de centres d’enfouissement de déchets dangereux ;</w:t>
            </w:r>
          </w:p>
          <w:p w14:paraId="1A803AA6" w14:textId="77777777" w:rsidR="003007BA" w:rsidRPr="00AD7749" w:rsidRDefault="003007BA" w:rsidP="008B048C">
            <w:pPr>
              <w:numPr>
                <w:ilvl w:val="0"/>
                <w:numId w:val="23"/>
              </w:numPr>
              <w:spacing w:line="259" w:lineRule="auto"/>
              <w:ind w:left="714" w:hanging="357"/>
              <w:jc w:val="both"/>
              <w:rPr>
                <w:rFonts w:ascii="Aptos" w:hAnsi="Aptos" w:cs="Calibri"/>
                <w:sz w:val="20"/>
                <w:szCs w:val="20"/>
              </w:rPr>
            </w:pPr>
            <w:r w:rsidRPr="00AD7749">
              <w:rPr>
                <w:rFonts w:ascii="Aptos" w:hAnsi="Aptos" w:cs="Calibri"/>
                <w:sz w:val="20"/>
                <w:szCs w:val="20"/>
              </w:rPr>
              <w:t>la construction et/ou l’exploitation d’installations chimiques ;</w:t>
            </w:r>
          </w:p>
          <w:p w14:paraId="4456BEF5" w14:textId="77777777" w:rsidR="003007BA" w:rsidRPr="00AD7749" w:rsidRDefault="003007BA" w:rsidP="008B048C">
            <w:pPr>
              <w:numPr>
                <w:ilvl w:val="0"/>
                <w:numId w:val="23"/>
              </w:numPr>
              <w:spacing w:line="259" w:lineRule="auto"/>
              <w:ind w:left="714" w:hanging="357"/>
              <w:jc w:val="both"/>
              <w:rPr>
                <w:rFonts w:ascii="Aptos" w:hAnsi="Aptos" w:cs="Calibri"/>
                <w:sz w:val="20"/>
                <w:szCs w:val="20"/>
              </w:rPr>
            </w:pPr>
            <w:r w:rsidRPr="00AD7749">
              <w:rPr>
                <w:rFonts w:ascii="Aptos" w:hAnsi="Aptos" w:cs="Calibri"/>
                <w:sz w:val="20"/>
                <w:szCs w:val="20"/>
              </w:rPr>
              <w:t>les activités pétrolières ;</w:t>
            </w:r>
          </w:p>
          <w:p w14:paraId="4EE88FE0" w14:textId="77777777" w:rsidR="003007BA" w:rsidRPr="00AD7749" w:rsidRDefault="003007BA" w:rsidP="008B048C">
            <w:pPr>
              <w:numPr>
                <w:ilvl w:val="0"/>
                <w:numId w:val="23"/>
              </w:numPr>
              <w:spacing w:line="259" w:lineRule="auto"/>
              <w:ind w:left="714" w:hanging="357"/>
              <w:jc w:val="both"/>
              <w:rPr>
                <w:rFonts w:ascii="Aptos" w:hAnsi="Aptos" w:cs="Calibri"/>
                <w:sz w:val="20"/>
                <w:szCs w:val="20"/>
              </w:rPr>
            </w:pPr>
            <w:r w:rsidRPr="00AD7749">
              <w:rPr>
                <w:rFonts w:ascii="Aptos" w:hAnsi="Aptos" w:cs="Calibri"/>
                <w:sz w:val="20"/>
                <w:szCs w:val="20"/>
              </w:rPr>
              <w:lastRenderedPageBreak/>
              <w:t>les activités minières et de carrières à grande échelle et, lorsqu’elles sont situées dans la mer territoriale, le plateau continental ou la zone économique exclusive, les activités minières à petite échelle et les carrières artisanales.</w:t>
            </w:r>
          </w:p>
          <w:p w14:paraId="4AE45A2B" w14:textId="7086A064" w:rsidR="003007BA" w:rsidRPr="00AD7749" w:rsidRDefault="003007BA" w:rsidP="00CA4278">
            <w:pPr>
              <w:spacing w:before="160" w:after="160" w:line="259" w:lineRule="auto"/>
              <w:jc w:val="both"/>
              <w:rPr>
                <w:rFonts w:ascii="Aptos" w:hAnsi="Aptos" w:cs="Calibri"/>
                <w:sz w:val="20"/>
                <w:szCs w:val="20"/>
              </w:rPr>
            </w:pPr>
            <w:r w:rsidRPr="00AD7749">
              <w:rPr>
                <w:rFonts w:ascii="Aptos" w:hAnsi="Aptos" w:cs="Calibri"/>
                <w:sz w:val="20"/>
                <w:szCs w:val="20"/>
              </w:rPr>
              <w:t>L’information et la participation du public sont assurées dans le cadre de la procédure d’évaluation environnementale, en collaboration avec les autorités administratives territoriales et les municipalités concernées. Elles comprennent notamment l’organisation d’une ou plusieurs réunions de présentation du projet réunissant les autorités locales, les populations, les administrations concernées, les ONG et autres organisations ainsi que l’ouverture d’un registre accessible au public auprès du Hakem territorialement compétent, dans lequel sont consignées les évaluations, observations et suggestions relatives au projet.</w:t>
            </w:r>
          </w:p>
          <w:p w14:paraId="578B63BB" w14:textId="57DFCAF6" w:rsidR="003007BA" w:rsidRPr="00D401FA" w:rsidRDefault="003007BA" w:rsidP="00216CAF">
            <w:pPr>
              <w:spacing w:after="160" w:line="259" w:lineRule="auto"/>
              <w:jc w:val="both"/>
              <w:rPr>
                <w:rFonts w:ascii="Aptos" w:hAnsi="Aptos" w:cs="Calibri"/>
              </w:rPr>
            </w:pPr>
            <w:r w:rsidRPr="00AD7749">
              <w:rPr>
                <w:rFonts w:ascii="Aptos" w:hAnsi="Aptos" w:cs="Calibri"/>
                <w:sz w:val="20"/>
                <w:szCs w:val="20"/>
              </w:rPr>
              <w:t>Après réception du rapport (étude ou notice d’impact), le Ministre chargé de l’Environnement informe le Hakem de l’ouverture de l’enquête publique (article 19). Le rapport est examiné en parallèle avec la demande d’autorisation de réalisation des travaux (article 29). Le même ministre est habilité à délivrer l’autorisation et à émettre un avis sur la faisabilité environnementale du projet ; tout avis défavorable doit être motivé (article 30). Il est également responsable du suivi environnemental, en collaboration avec les ministères concernés.</w:t>
            </w:r>
          </w:p>
        </w:tc>
      </w:tr>
    </w:tbl>
    <w:p w14:paraId="68849066" w14:textId="77777777" w:rsidR="003007BA" w:rsidRPr="00D401FA" w:rsidRDefault="003007BA" w:rsidP="00216CAF">
      <w:pPr>
        <w:jc w:val="both"/>
        <w:rPr>
          <w:rFonts w:ascii="Aptos" w:hAnsi="Aptos" w:cs="Calibri"/>
        </w:rPr>
      </w:pPr>
    </w:p>
    <w:p w14:paraId="77D220CB" w14:textId="754A15FD" w:rsidR="003007BA" w:rsidRPr="00D401FA" w:rsidRDefault="003007BA" w:rsidP="00216CAF">
      <w:pPr>
        <w:jc w:val="both"/>
        <w:rPr>
          <w:rFonts w:ascii="Aptos" w:hAnsi="Aptos" w:cs="Calibri"/>
        </w:rPr>
      </w:pPr>
      <w:r w:rsidRPr="00D401FA">
        <w:rPr>
          <w:rFonts w:ascii="Aptos" w:hAnsi="Aptos" w:cs="Calibri"/>
        </w:rPr>
        <w:t>La procédure d’autorisation environnementale, déclenchée systématiquement pour tout projet, est définie par le décret n° 2007-105 et détaillée dans deux guides : le « Guide de procédure technique et administrative des évaluations de l’impact sur l’environnement » (juin 2008) et le «</w:t>
      </w:r>
      <w:r w:rsidR="00CA4278">
        <w:rPr>
          <w:rFonts w:ascii="Aptos" w:hAnsi="Aptos" w:cs="Calibri"/>
        </w:rPr>
        <w:t> </w:t>
      </w:r>
      <w:r w:rsidRPr="00D401FA">
        <w:rPr>
          <w:rFonts w:ascii="Aptos" w:hAnsi="Aptos" w:cs="Calibri"/>
        </w:rPr>
        <w:t>Guide de l’enquête publique » (version du 25 octobre 2009). Elle comprend plusieurs étapes, allant du cadrage et de la validation des termes de référence jusqu’à la délivrance du certificat de conformité environnementale.</w:t>
      </w:r>
    </w:p>
    <w:p w14:paraId="313FD57C" w14:textId="6F5B1AC4" w:rsidR="00A64BE5" w:rsidRPr="00D401FA" w:rsidRDefault="00A64BE5" w:rsidP="00EC0A53">
      <w:pPr>
        <w:pStyle w:val="Heading2"/>
      </w:pPr>
      <w:bookmarkStart w:id="80" w:name="_Toc227686285"/>
      <w:bookmarkStart w:id="81" w:name="_Toc227686323"/>
      <w:bookmarkStart w:id="82" w:name="_Toc227686369"/>
      <w:r w:rsidRPr="00D401FA">
        <w:t>CADRE RÉGLEMENTAIRE DES ÉVALUATIONS SOCIALES</w:t>
      </w:r>
      <w:bookmarkEnd w:id="80"/>
      <w:bookmarkEnd w:id="81"/>
      <w:bookmarkEnd w:id="82"/>
    </w:p>
    <w:p w14:paraId="78EDB8CE" w14:textId="6AC6AF6C" w:rsidR="00A64BE5" w:rsidRPr="00D401FA" w:rsidRDefault="00A64BE5" w:rsidP="00216CAF">
      <w:pPr>
        <w:jc w:val="both"/>
        <w:rPr>
          <w:rFonts w:ascii="Aptos" w:hAnsi="Aptos" w:cs="Calibri"/>
        </w:rPr>
      </w:pPr>
      <w:r w:rsidRPr="00D401FA">
        <w:rPr>
          <w:rFonts w:ascii="Aptos" w:hAnsi="Aptos" w:cs="Calibri"/>
        </w:rPr>
        <w:t>La gestion sociale est encadrée par un dispositif réglementaire complet</w:t>
      </w:r>
      <w:r w:rsidR="00CA4278">
        <w:rPr>
          <w:rFonts w:ascii="Aptos" w:hAnsi="Aptos" w:cs="Calibri"/>
        </w:rPr>
        <w:t>.</w:t>
      </w:r>
    </w:p>
    <w:p w14:paraId="52D7B0F8" w14:textId="7054E4B4" w:rsidR="00A64BE5" w:rsidRPr="00D401FA" w:rsidRDefault="00A64BE5" w:rsidP="00EC0A53">
      <w:pPr>
        <w:pStyle w:val="Heading3"/>
      </w:pPr>
      <w:bookmarkStart w:id="83" w:name="_Toc227686324"/>
      <w:bookmarkStart w:id="84" w:name="_Toc227686370"/>
      <w:r w:rsidRPr="00D401FA">
        <w:t>La Constitution</w:t>
      </w:r>
      <w:bookmarkEnd w:id="83"/>
      <w:bookmarkEnd w:id="84"/>
    </w:p>
    <w:p w14:paraId="37ACF6EE" w14:textId="77777777" w:rsidR="00A64BE5" w:rsidRPr="00D401FA" w:rsidRDefault="00A64BE5" w:rsidP="00216CAF">
      <w:pPr>
        <w:jc w:val="both"/>
        <w:rPr>
          <w:rFonts w:ascii="Aptos" w:hAnsi="Aptos" w:cs="Calibri"/>
        </w:rPr>
      </w:pPr>
      <w:r w:rsidRPr="00D401FA">
        <w:rPr>
          <w:rFonts w:ascii="Aptos" w:hAnsi="Aptos" w:cs="Calibri"/>
        </w:rPr>
        <w:t>La Constitution de la République islamique de Mauritanie, promulguée par l’ordonnance n° 91-022 du 20 juillet 1991 et révisée par la loi constitutionnelle n° 2006-014 du 12 juillet 2006 rétablissant la Constitution du 20 juillet 1991 comme Constitution de l’État et modifiant certaines de ses dispositions, garantit les droits et principes suivants :</w:t>
      </w:r>
    </w:p>
    <w:p w14:paraId="0189E454" w14:textId="77777777" w:rsidR="00A64BE5" w:rsidRPr="00D401FA" w:rsidRDefault="00A64BE5" w:rsidP="008B048C">
      <w:pPr>
        <w:numPr>
          <w:ilvl w:val="0"/>
          <w:numId w:val="24"/>
        </w:numPr>
        <w:spacing w:after="0"/>
        <w:ind w:left="714" w:hanging="357"/>
        <w:jc w:val="both"/>
        <w:rPr>
          <w:rFonts w:ascii="Aptos" w:hAnsi="Aptos" w:cs="Calibri"/>
        </w:rPr>
      </w:pPr>
      <w:r w:rsidRPr="00D401FA">
        <w:rPr>
          <w:rFonts w:ascii="Aptos" w:hAnsi="Aptos" w:cs="Calibri"/>
        </w:rPr>
        <w:t>le droit à l’égalité ;</w:t>
      </w:r>
    </w:p>
    <w:p w14:paraId="22091228" w14:textId="77777777" w:rsidR="00A64BE5" w:rsidRPr="00D401FA" w:rsidRDefault="00A64BE5" w:rsidP="008B048C">
      <w:pPr>
        <w:numPr>
          <w:ilvl w:val="0"/>
          <w:numId w:val="24"/>
        </w:numPr>
        <w:spacing w:after="0"/>
        <w:ind w:left="714" w:hanging="357"/>
        <w:jc w:val="both"/>
        <w:rPr>
          <w:rFonts w:ascii="Aptos" w:hAnsi="Aptos" w:cs="Calibri"/>
        </w:rPr>
      </w:pPr>
      <w:r w:rsidRPr="00D401FA">
        <w:rPr>
          <w:rFonts w:ascii="Aptos" w:hAnsi="Aptos" w:cs="Calibri"/>
        </w:rPr>
        <w:t>les droits et libertés fondamentaux de la personne humaine ;</w:t>
      </w:r>
    </w:p>
    <w:p w14:paraId="510A3F61" w14:textId="77777777" w:rsidR="00A64BE5" w:rsidRPr="00D401FA" w:rsidRDefault="00A64BE5" w:rsidP="008B048C">
      <w:pPr>
        <w:numPr>
          <w:ilvl w:val="0"/>
          <w:numId w:val="24"/>
        </w:numPr>
        <w:spacing w:after="0"/>
        <w:ind w:left="714" w:hanging="357"/>
        <w:jc w:val="both"/>
        <w:rPr>
          <w:rFonts w:ascii="Aptos" w:hAnsi="Aptos" w:cs="Calibri"/>
        </w:rPr>
      </w:pPr>
      <w:r w:rsidRPr="00D401FA">
        <w:rPr>
          <w:rFonts w:ascii="Aptos" w:hAnsi="Aptos" w:cs="Calibri"/>
        </w:rPr>
        <w:t>le droit de propriété ;</w:t>
      </w:r>
    </w:p>
    <w:p w14:paraId="112E5015" w14:textId="77777777" w:rsidR="00A64BE5" w:rsidRPr="00D401FA" w:rsidRDefault="00A64BE5" w:rsidP="008B048C">
      <w:pPr>
        <w:numPr>
          <w:ilvl w:val="0"/>
          <w:numId w:val="24"/>
        </w:numPr>
        <w:spacing w:after="0"/>
        <w:ind w:left="714" w:hanging="357"/>
        <w:jc w:val="both"/>
        <w:rPr>
          <w:rFonts w:ascii="Aptos" w:hAnsi="Aptos" w:cs="Calibri"/>
        </w:rPr>
      </w:pPr>
      <w:r w:rsidRPr="00D401FA">
        <w:rPr>
          <w:rFonts w:ascii="Aptos" w:hAnsi="Aptos" w:cs="Calibri"/>
        </w:rPr>
        <w:t>les libertés politiques et la liberté d’association ;</w:t>
      </w:r>
    </w:p>
    <w:p w14:paraId="38C2FDB6" w14:textId="77777777" w:rsidR="00A64BE5" w:rsidRPr="00D401FA" w:rsidRDefault="00A64BE5" w:rsidP="008B048C">
      <w:pPr>
        <w:numPr>
          <w:ilvl w:val="0"/>
          <w:numId w:val="24"/>
        </w:numPr>
        <w:spacing w:after="0"/>
        <w:ind w:left="714" w:hanging="357"/>
        <w:jc w:val="both"/>
        <w:rPr>
          <w:rFonts w:ascii="Aptos" w:hAnsi="Aptos" w:cs="Calibri"/>
        </w:rPr>
      </w:pPr>
      <w:r w:rsidRPr="00D401FA">
        <w:rPr>
          <w:rFonts w:ascii="Aptos" w:hAnsi="Aptos" w:cs="Calibri"/>
        </w:rPr>
        <w:t>les droits économiques et sociaux ;</w:t>
      </w:r>
    </w:p>
    <w:p w14:paraId="2B8BFEEB" w14:textId="77777777" w:rsidR="00A64BE5" w:rsidRPr="00D401FA" w:rsidRDefault="00A64BE5" w:rsidP="008B048C">
      <w:pPr>
        <w:numPr>
          <w:ilvl w:val="0"/>
          <w:numId w:val="24"/>
        </w:numPr>
        <w:spacing w:after="0"/>
        <w:ind w:left="714" w:hanging="357"/>
        <w:jc w:val="both"/>
        <w:rPr>
          <w:rFonts w:ascii="Aptos" w:hAnsi="Aptos" w:cs="Calibri"/>
        </w:rPr>
      </w:pPr>
      <w:r w:rsidRPr="00D401FA">
        <w:rPr>
          <w:rFonts w:ascii="Aptos" w:hAnsi="Aptos" w:cs="Calibri"/>
        </w:rPr>
        <w:t>les droits attachés à la famille, cellule de base de la société islamique.</w:t>
      </w:r>
    </w:p>
    <w:p w14:paraId="285408E4" w14:textId="5455C31F" w:rsidR="00A64BE5" w:rsidRPr="00D401FA" w:rsidRDefault="00A64BE5" w:rsidP="00EC0A53">
      <w:pPr>
        <w:pStyle w:val="Heading3"/>
      </w:pPr>
      <w:bookmarkStart w:id="85" w:name="_Toc227686325"/>
      <w:bookmarkStart w:id="86" w:name="_Toc227686371"/>
      <w:r w:rsidRPr="00D401FA">
        <w:t>Régime foncier</w:t>
      </w:r>
      <w:bookmarkEnd w:id="85"/>
      <w:bookmarkEnd w:id="86"/>
    </w:p>
    <w:p w14:paraId="3AE5D537" w14:textId="77777777" w:rsidR="00A64BE5" w:rsidRPr="00D401FA" w:rsidRDefault="00A64BE5" w:rsidP="00216CAF">
      <w:pPr>
        <w:jc w:val="both"/>
        <w:rPr>
          <w:rFonts w:ascii="Aptos" w:hAnsi="Aptos" w:cs="Calibri"/>
        </w:rPr>
      </w:pPr>
      <w:r w:rsidRPr="00D401FA">
        <w:rPr>
          <w:rFonts w:ascii="Aptos" w:hAnsi="Aptos" w:cs="Calibri"/>
        </w:rPr>
        <w:t xml:space="preserve">La réorganisation du régime foncier et de la propriété foncière en Mauritanie est régie par le décret n° 2010-080 du 31 mars 2010 (abrogeant et remplaçant le décret n° 2000-089 du 17 juillet 2000), pris pour l’application de l’ordonnance n° 83-127 du 5 juin 1983 portant réorganisation foncière et </w:t>
      </w:r>
      <w:r w:rsidRPr="00D401FA">
        <w:rPr>
          <w:rFonts w:ascii="Aptos" w:hAnsi="Aptos" w:cs="Calibri"/>
        </w:rPr>
        <w:lastRenderedPageBreak/>
        <w:t>domaniale. Ce décret traite notamment des espaces vitaux et des réserves foncières, de l’individualisation des droits fonciers collectifs, des concessions rurales de l’État ainsi que de la gestion des litiges domaniaux. Il reconnaît le droit des collectivités locales à attribuer des concessions foncières dans certaines limites, ainsi que la possibilité de constituer des réserves foncières dans des cas spécifiques. Les principaux éléments de la législation en vigueur sont les suivants :</w:t>
      </w:r>
    </w:p>
    <w:p w14:paraId="1E317646" w14:textId="77777777" w:rsidR="00A64BE5" w:rsidRPr="00D401FA" w:rsidRDefault="00A64BE5" w:rsidP="008B048C">
      <w:pPr>
        <w:numPr>
          <w:ilvl w:val="0"/>
          <w:numId w:val="25"/>
        </w:numPr>
        <w:spacing w:after="0"/>
        <w:ind w:left="714" w:hanging="357"/>
        <w:jc w:val="both"/>
        <w:rPr>
          <w:rFonts w:ascii="Aptos" w:hAnsi="Aptos" w:cs="Calibri"/>
        </w:rPr>
      </w:pPr>
      <w:r w:rsidRPr="00EC0A53">
        <w:rPr>
          <w:rFonts w:ascii="Aptos" w:hAnsi="Aptos" w:cs="Calibri"/>
          <w:b/>
          <w:bCs/>
          <w:i/>
          <w:iCs/>
        </w:rPr>
        <w:t>Domaine des personnes privées</w:t>
      </w:r>
      <w:r w:rsidRPr="00D401FA">
        <w:rPr>
          <w:rFonts w:ascii="Aptos" w:hAnsi="Aptos" w:cs="Calibri"/>
        </w:rPr>
        <w:t xml:space="preserve"> : les terres mises en valeur par des personnes privées font partie de leur domaine et sont protégées en tant que telles (article 1).</w:t>
      </w:r>
    </w:p>
    <w:p w14:paraId="6A93265B" w14:textId="77777777" w:rsidR="00A64BE5" w:rsidRPr="00D401FA" w:rsidRDefault="00A64BE5" w:rsidP="008B048C">
      <w:pPr>
        <w:numPr>
          <w:ilvl w:val="0"/>
          <w:numId w:val="25"/>
        </w:numPr>
        <w:spacing w:after="0"/>
        <w:ind w:left="714" w:hanging="357"/>
        <w:jc w:val="both"/>
        <w:rPr>
          <w:rFonts w:ascii="Aptos" w:hAnsi="Aptos" w:cs="Calibri"/>
        </w:rPr>
      </w:pPr>
      <w:r w:rsidRPr="00EC0A53">
        <w:rPr>
          <w:rFonts w:ascii="Aptos" w:hAnsi="Aptos" w:cs="Calibri"/>
          <w:b/>
          <w:bCs/>
          <w:i/>
          <w:iCs/>
        </w:rPr>
        <w:t>Extinction des droits de propriété foncière</w:t>
      </w:r>
      <w:r w:rsidRPr="00D401FA">
        <w:rPr>
          <w:rFonts w:ascii="Aptos" w:hAnsi="Aptos" w:cs="Calibri"/>
        </w:rPr>
        <w:t xml:space="preserve"> : </w:t>
      </w:r>
      <w:r w:rsidRPr="00EC0A53">
        <w:rPr>
          <w:rFonts w:ascii="Aptos" w:hAnsi="Aptos" w:cs="Calibri"/>
          <w:i/>
          <w:iCs/>
        </w:rPr>
        <w:t>l’</w:t>
      </w:r>
      <w:proofErr w:type="spellStart"/>
      <w:r w:rsidRPr="00EC0A53">
        <w:rPr>
          <w:rFonts w:ascii="Aptos" w:hAnsi="Aptos" w:cs="Calibri"/>
          <w:i/>
          <w:iCs/>
        </w:rPr>
        <w:t>indirass</w:t>
      </w:r>
      <w:proofErr w:type="spellEnd"/>
      <w:r w:rsidRPr="00D401FA">
        <w:rPr>
          <w:rFonts w:ascii="Aptos" w:hAnsi="Aptos" w:cs="Calibri"/>
        </w:rPr>
        <w:t xml:space="preserve"> (absence de mise en valeur) entraîne l’extinction du droit de propriété pour « tout propriétaire n’ayant pas immatriculé son terrain conformément à la procédure en vigueur » (article 4).</w:t>
      </w:r>
    </w:p>
    <w:p w14:paraId="2A33637A" w14:textId="77777777" w:rsidR="00A64BE5" w:rsidRPr="00D401FA" w:rsidRDefault="00A64BE5" w:rsidP="008B048C">
      <w:pPr>
        <w:numPr>
          <w:ilvl w:val="0"/>
          <w:numId w:val="25"/>
        </w:numPr>
        <w:spacing w:after="0"/>
        <w:ind w:left="714" w:hanging="357"/>
        <w:jc w:val="both"/>
        <w:rPr>
          <w:rFonts w:ascii="Aptos" w:hAnsi="Aptos" w:cs="Calibri"/>
        </w:rPr>
      </w:pPr>
      <w:r w:rsidRPr="00EC0A53">
        <w:rPr>
          <w:rFonts w:ascii="Aptos" w:hAnsi="Aptos" w:cs="Calibri"/>
          <w:b/>
          <w:bCs/>
          <w:i/>
          <w:iCs/>
        </w:rPr>
        <w:t>Intégration des constructions et plantations</w:t>
      </w:r>
      <w:r w:rsidRPr="00D401FA">
        <w:rPr>
          <w:rFonts w:ascii="Aptos" w:hAnsi="Aptos" w:cs="Calibri"/>
        </w:rPr>
        <w:t xml:space="preserve"> : les constructions, plantations et ouvrages hydro-agricoles situés sur des terrains appartenant initialement à des personnes privées « peuvent être intégrés au domaine privé de l’État s’ils restent en déshérence pendant quatre années consécutives du fait de la négligence manifeste de leur propriétaire initial » (article 5).</w:t>
      </w:r>
    </w:p>
    <w:p w14:paraId="107C00D0" w14:textId="77777777" w:rsidR="00A64BE5" w:rsidRPr="00D401FA" w:rsidRDefault="00A64BE5" w:rsidP="008B048C">
      <w:pPr>
        <w:numPr>
          <w:ilvl w:val="0"/>
          <w:numId w:val="25"/>
        </w:numPr>
        <w:spacing w:after="0"/>
        <w:ind w:left="714" w:hanging="357"/>
        <w:jc w:val="both"/>
        <w:rPr>
          <w:rFonts w:ascii="Aptos" w:hAnsi="Aptos" w:cs="Calibri"/>
        </w:rPr>
      </w:pPr>
      <w:r w:rsidRPr="00EC0A53">
        <w:rPr>
          <w:rFonts w:ascii="Aptos" w:hAnsi="Aptos" w:cs="Calibri"/>
          <w:b/>
          <w:bCs/>
          <w:i/>
          <w:iCs/>
        </w:rPr>
        <w:t>Rétrocession des biens intégrés</w:t>
      </w:r>
      <w:r w:rsidRPr="00D401FA">
        <w:rPr>
          <w:rFonts w:ascii="Aptos" w:hAnsi="Aptos" w:cs="Calibri"/>
        </w:rPr>
        <w:t xml:space="preserve"> : les biens immobiliers intégrés au domaine de l’État peuvent être restitués à leurs propriétaires si ceux-ci en font la demande et apportent la preuve valable de leur droit dans un délai de deux ans (article 7).</w:t>
      </w:r>
    </w:p>
    <w:p w14:paraId="3E3C5E40" w14:textId="77777777" w:rsidR="00EC0A53" w:rsidRDefault="00EC0A53" w:rsidP="00216CAF">
      <w:pPr>
        <w:jc w:val="both"/>
        <w:rPr>
          <w:rFonts w:ascii="Aptos" w:hAnsi="Aptos" w:cs="Calibri"/>
          <w:b/>
          <w:bCs/>
        </w:rPr>
      </w:pPr>
    </w:p>
    <w:p w14:paraId="790A2499" w14:textId="210B0144" w:rsidR="00A64BE5" w:rsidRPr="00D401FA" w:rsidRDefault="00A64BE5" w:rsidP="00216CAF">
      <w:pPr>
        <w:jc w:val="both"/>
        <w:rPr>
          <w:rFonts w:ascii="Aptos" w:hAnsi="Aptos" w:cs="Calibri"/>
          <w:b/>
          <w:bCs/>
        </w:rPr>
      </w:pPr>
      <w:r w:rsidRPr="00D401FA">
        <w:rPr>
          <w:rFonts w:ascii="Aptos" w:hAnsi="Aptos" w:cs="Calibri"/>
          <w:b/>
          <w:bCs/>
        </w:rPr>
        <w:t>Expropriation pour cause d’utilité publique</w:t>
      </w:r>
    </w:p>
    <w:p w14:paraId="152AEF82" w14:textId="427E9CBC" w:rsidR="00A64BE5" w:rsidRPr="00D401FA" w:rsidRDefault="00A64BE5" w:rsidP="00216CAF">
      <w:pPr>
        <w:jc w:val="both"/>
        <w:rPr>
          <w:rFonts w:ascii="Aptos" w:hAnsi="Aptos" w:cs="Calibri"/>
        </w:rPr>
      </w:pPr>
      <w:r w:rsidRPr="00D401FA">
        <w:rPr>
          <w:rFonts w:ascii="Aptos" w:hAnsi="Aptos" w:cs="Calibri"/>
        </w:rPr>
        <w:t xml:space="preserve">Le principe de l’expropriation pour cause d’utilité publique constitue une procédure essentielle affirmée par plusieurs textes législatifs et réglementaires. Il est d’abord énoncé à l’article 15 de la Constitution de 1991 qui, tout en consacrant le droit de propriété, le droit d’héritage ainsi que la reconnaissance de la propriété vitale et des fondations, </w:t>
      </w:r>
      <w:proofErr w:type="gramStart"/>
      <w:r w:rsidRPr="00D401FA">
        <w:rPr>
          <w:rFonts w:ascii="Aptos" w:hAnsi="Aptos" w:cs="Calibri"/>
        </w:rPr>
        <w:t>dispose</w:t>
      </w:r>
      <w:proofErr w:type="gramEnd"/>
      <w:r w:rsidRPr="00D401FA">
        <w:rPr>
          <w:rFonts w:ascii="Aptos" w:hAnsi="Aptos" w:cs="Calibri"/>
        </w:rPr>
        <w:t xml:space="preserve"> que « la loi peut limiter l’étendue de l’exercice de la propriété privée si les exigences du développement économique et social l’exigent » et que « l’expropriation ne peut intervenir que lorsque l’utilité publique l’exige et moyennant une indemnisation juste et préalable ». Cet article</w:t>
      </w:r>
      <w:r w:rsidR="00CA4278">
        <w:rPr>
          <w:rFonts w:ascii="Aptos" w:hAnsi="Aptos" w:cs="Calibri"/>
        </w:rPr>
        <w:t xml:space="preserve"> important de la Constitution </w:t>
      </w:r>
      <w:r w:rsidRPr="00D401FA">
        <w:rPr>
          <w:rFonts w:ascii="Aptos" w:hAnsi="Aptos" w:cs="Calibri"/>
        </w:rPr>
        <w:t>s’inscrit dans la continuité de textes antérieurs, notamment le décret du 25 novembre 1930 relatif aux dispositions pratiques applicables à l’expropriation pour cause d’utilité publique, qui n’a pas été formellement abrogé.</w:t>
      </w:r>
    </w:p>
    <w:p w14:paraId="5DEF3268" w14:textId="08DFCEA5" w:rsidR="00A64BE5" w:rsidRPr="00D401FA" w:rsidRDefault="00A64BE5" w:rsidP="00216CAF">
      <w:pPr>
        <w:jc w:val="both"/>
        <w:rPr>
          <w:rFonts w:ascii="Aptos" w:hAnsi="Aptos" w:cs="Calibri"/>
        </w:rPr>
      </w:pPr>
      <w:r w:rsidRPr="00D401FA">
        <w:rPr>
          <w:rFonts w:ascii="Aptos" w:hAnsi="Aptos" w:cs="Calibri"/>
        </w:rPr>
        <w:t>Le principe d’expropriation est également prévu par le Code pastoral (loi n° 2000-044 du 26 juillet 2000), qui, tout en préservant les droits d’accès à la terre et les servitudes de passage, prévoit que tout titulaire de droits issus d’une concession définitive ou d’un titre de propriété peut être exproprié pour cause d’utilité publique s’il entrave l’extension d’une agglomération urbaine ou la réalisation d’un projet d’intérêt public (article 4). Le Code pastoral traite également de la «</w:t>
      </w:r>
      <w:r w:rsidR="00D955F6">
        <w:rPr>
          <w:rFonts w:ascii="Aptos" w:hAnsi="Aptos" w:cs="Calibri"/>
        </w:rPr>
        <w:t> </w:t>
      </w:r>
      <w:r w:rsidRPr="00D401FA">
        <w:rPr>
          <w:rFonts w:ascii="Aptos" w:hAnsi="Aptos" w:cs="Calibri"/>
        </w:rPr>
        <w:t>récupération » et de l’expropriation, en disposant que les terres « vacantes et sans maître » reviennent au domaine public, et en encadrant les « concessions » permettant à l’autorité compétente d’accorder des droits provisoires ou permanents sur les terres domaniales situées en dehors des zones urbaines.</w:t>
      </w:r>
      <w:r w:rsidR="00D955F6">
        <w:rPr>
          <w:rFonts w:ascii="Aptos" w:hAnsi="Aptos" w:cs="Calibri"/>
        </w:rPr>
        <w:t xml:space="preserve"> </w:t>
      </w:r>
      <w:r w:rsidRPr="00D401FA">
        <w:rPr>
          <w:rFonts w:ascii="Aptos" w:hAnsi="Aptos" w:cs="Calibri"/>
        </w:rPr>
        <w:t>Conformément à l’article 98 du décret n° 2000-089 du 17 juillet 2000 et au décret n° 2010-080 du 31 mars 2010, tout occupant irrégulier peut être expulsé, c’est-à-dire toute personne qui occupe de manière permanente une terre domaniale sans autorisation des autorités compétentes. Toute occupation sans autorisation confère la qualité d’occupant irrégulier et entraîne l’expulsion. Lorsque le terrain comporte des plantations, constructions ou ouvrages, l’occupant irrégulier peut être indemnisé pour les dépenses engagées. En revanche, la mise en valeur d’une terre sans concession préalable ne confère aucun droit de propriété à la personne qui l’a réalisée. Dans ce cas, l’État peut soit reprendre le terrain, soit régulariser l’occupation (article 13 de l’ordonnance n° 83-127 de 1983). Lorsque le terrain ne comporte ni plantations, ni constructions, ni ouvrages, la reprise ne donne lieu à aucune indemnisation. Dans le cas contraire, l’occupant irrégulier est indemnisé des dépenses engagées. En l’absence d’accord amiable sur le montant de l’indemnisation, celui-ci est fixé par la juridiction civile compétente saisie par l’occupant expulsé. Les occupants irréguliers sont expulsés après une mise en demeure de libérer les lieux au moins trente jours francs avant la date d’expulsion. Ce délai peut être réduit en fonction des nécessités appréciées par l’autorité administrative (article 99 du décret n° 2000-089 du 17 juillet 2000, complété par le décret n° 2010-080 du 31 mars 2010).</w:t>
      </w:r>
    </w:p>
    <w:p w14:paraId="103DBC23" w14:textId="77777777" w:rsidR="00A64BE5" w:rsidRPr="00D401FA" w:rsidRDefault="00A64BE5" w:rsidP="00216CAF">
      <w:pPr>
        <w:jc w:val="both"/>
        <w:rPr>
          <w:rFonts w:ascii="Aptos" w:hAnsi="Aptos" w:cs="Calibri"/>
          <w:b/>
          <w:bCs/>
        </w:rPr>
      </w:pPr>
      <w:r w:rsidRPr="00D401FA">
        <w:rPr>
          <w:rFonts w:ascii="Aptos" w:hAnsi="Aptos" w:cs="Calibri"/>
          <w:b/>
          <w:bCs/>
        </w:rPr>
        <w:t>Encadré 7 : Procédures d’expropriation pour cause d’utilité publique</w:t>
      </w:r>
    </w:p>
    <w:tbl>
      <w:tblPr>
        <w:tblStyle w:val="TableGrid"/>
        <w:tblW w:w="0" w:type="auto"/>
        <w:tblLook w:val="04A0" w:firstRow="1" w:lastRow="0" w:firstColumn="1" w:lastColumn="0" w:noHBand="0" w:noVBand="1"/>
      </w:tblPr>
      <w:tblGrid>
        <w:gridCol w:w="9062"/>
      </w:tblGrid>
      <w:tr w:rsidR="00EC0A53" w14:paraId="6E25A46C" w14:textId="77777777" w:rsidTr="00F34F90">
        <w:tc>
          <w:tcPr>
            <w:tcW w:w="9062" w:type="dxa"/>
            <w:shd w:val="clear" w:color="auto" w:fill="EDEDED" w:themeFill="accent3" w:themeFillTint="33"/>
          </w:tcPr>
          <w:p w14:paraId="5C18AF76" w14:textId="77777777" w:rsidR="00EB7B8A" w:rsidRPr="00AD7749" w:rsidRDefault="00EB7B8A" w:rsidP="00EB7B8A">
            <w:pPr>
              <w:jc w:val="both"/>
              <w:rPr>
                <w:rFonts w:ascii="Aptos" w:hAnsi="Aptos" w:cs="Calibri"/>
                <w:sz w:val="20"/>
                <w:szCs w:val="20"/>
              </w:rPr>
            </w:pPr>
            <w:r w:rsidRPr="00AD7749">
              <w:rPr>
                <w:rFonts w:ascii="Aptos" w:hAnsi="Aptos" w:cs="Calibri"/>
                <w:sz w:val="20"/>
                <w:szCs w:val="20"/>
              </w:rPr>
              <w:t>L’exploitation des terres rurales s’effectue au moyen d’un permis d’exploitation délivré par le Wali (gouverneur) ou le Hakem (préfet) à un exploitant privé (individuel ou groupement), préalablement au dépôt d’une demande de concession ou à l’exploitation de terres relevant de droits coutumiers. La procédure d’expropriation comprend les étapes suivantes :</w:t>
            </w:r>
          </w:p>
          <w:p w14:paraId="3A1031D0" w14:textId="77777777" w:rsidR="00EB7B8A" w:rsidRPr="00AD7749" w:rsidRDefault="00EB7B8A" w:rsidP="008B048C">
            <w:pPr>
              <w:pStyle w:val="ListParagraph"/>
              <w:numPr>
                <w:ilvl w:val="2"/>
                <w:numId w:val="24"/>
              </w:numPr>
              <w:spacing w:before="160"/>
              <w:ind w:left="709" w:hanging="400"/>
              <w:contextualSpacing w:val="0"/>
              <w:jc w:val="both"/>
              <w:rPr>
                <w:rFonts w:ascii="Aptos" w:hAnsi="Aptos" w:cs="Calibri"/>
                <w:sz w:val="20"/>
                <w:szCs w:val="20"/>
              </w:rPr>
            </w:pPr>
            <w:r w:rsidRPr="00AD7749">
              <w:rPr>
                <w:rFonts w:ascii="Aptos" w:hAnsi="Aptos" w:cs="Calibri"/>
                <w:sz w:val="20"/>
                <w:szCs w:val="20"/>
              </w:rPr>
              <w:t>acte autorisant les opérations ;</w:t>
            </w:r>
          </w:p>
          <w:p w14:paraId="1A53BA47" w14:textId="77777777" w:rsidR="00EB7B8A" w:rsidRPr="00AD7749" w:rsidRDefault="00EB7B8A" w:rsidP="008B048C">
            <w:pPr>
              <w:pStyle w:val="ListParagraph"/>
              <w:numPr>
                <w:ilvl w:val="2"/>
                <w:numId w:val="24"/>
              </w:numPr>
              <w:ind w:left="709" w:hanging="400"/>
              <w:jc w:val="both"/>
              <w:rPr>
                <w:rFonts w:ascii="Aptos" w:hAnsi="Aptos" w:cs="Calibri"/>
                <w:sz w:val="20"/>
                <w:szCs w:val="20"/>
              </w:rPr>
            </w:pPr>
            <w:r w:rsidRPr="00AD7749">
              <w:rPr>
                <w:rFonts w:ascii="Aptos" w:hAnsi="Aptos" w:cs="Calibri"/>
                <w:sz w:val="20"/>
                <w:szCs w:val="20"/>
              </w:rPr>
              <w:t>acte déclarant expressément l’utilité publique ;</w:t>
            </w:r>
          </w:p>
          <w:p w14:paraId="191DF4BC" w14:textId="77777777" w:rsidR="00EB7B8A" w:rsidRPr="00AD7749" w:rsidRDefault="00EB7B8A" w:rsidP="008B048C">
            <w:pPr>
              <w:pStyle w:val="ListParagraph"/>
              <w:numPr>
                <w:ilvl w:val="2"/>
                <w:numId w:val="24"/>
              </w:numPr>
              <w:ind w:left="709" w:hanging="400"/>
              <w:jc w:val="both"/>
              <w:rPr>
                <w:rFonts w:ascii="Aptos" w:hAnsi="Aptos" w:cs="Calibri"/>
                <w:sz w:val="20"/>
                <w:szCs w:val="20"/>
              </w:rPr>
            </w:pPr>
            <w:r w:rsidRPr="00AD7749">
              <w:rPr>
                <w:rFonts w:ascii="Aptos" w:hAnsi="Aptos" w:cs="Calibri"/>
                <w:sz w:val="20"/>
                <w:szCs w:val="20"/>
              </w:rPr>
              <w:t>enquêtes publiques ;</w:t>
            </w:r>
          </w:p>
          <w:p w14:paraId="2D4299F4" w14:textId="77777777" w:rsidR="00EB7B8A" w:rsidRPr="00AD7749" w:rsidRDefault="00EB7B8A" w:rsidP="008B048C">
            <w:pPr>
              <w:pStyle w:val="ListParagraph"/>
              <w:numPr>
                <w:ilvl w:val="2"/>
                <w:numId w:val="24"/>
              </w:numPr>
              <w:ind w:left="709" w:hanging="400"/>
              <w:jc w:val="both"/>
              <w:rPr>
                <w:rFonts w:ascii="Aptos" w:hAnsi="Aptos" w:cs="Calibri"/>
                <w:sz w:val="20"/>
                <w:szCs w:val="20"/>
              </w:rPr>
            </w:pPr>
            <w:r w:rsidRPr="00AD7749">
              <w:rPr>
                <w:rFonts w:ascii="Aptos" w:hAnsi="Aptos" w:cs="Calibri"/>
                <w:sz w:val="20"/>
                <w:szCs w:val="20"/>
              </w:rPr>
              <w:t>arrêté de cessibilité ;</w:t>
            </w:r>
          </w:p>
          <w:p w14:paraId="6F18EE52" w14:textId="77777777" w:rsidR="00EB7B8A" w:rsidRPr="00AD7749" w:rsidRDefault="00EB7B8A" w:rsidP="008B048C">
            <w:pPr>
              <w:pStyle w:val="ListParagraph"/>
              <w:numPr>
                <w:ilvl w:val="2"/>
                <w:numId w:val="24"/>
              </w:numPr>
              <w:ind w:left="709" w:hanging="400"/>
              <w:jc w:val="both"/>
              <w:rPr>
                <w:rFonts w:ascii="Aptos" w:hAnsi="Aptos" w:cs="Calibri"/>
                <w:sz w:val="20"/>
                <w:szCs w:val="20"/>
              </w:rPr>
            </w:pPr>
            <w:r w:rsidRPr="00AD7749">
              <w:rPr>
                <w:rFonts w:ascii="Aptos" w:hAnsi="Aptos" w:cs="Calibri"/>
                <w:sz w:val="20"/>
                <w:szCs w:val="20"/>
              </w:rPr>
              <w:t>comparution des personnes concernées devant la Commission administrative d’expropriation ;</w:t>
            </w:r>
          </w:p>
          <w:p w14:paraId="4BEA149D" w14:textId="6E017976" w:rsidR="00EC0A53" w:rsidRPr="00EB7B8A" w:rsidRDefault="00EB7B8A" w:rsidP="008B048C">
            <w:pPr>
              <w:pStyle w:val="ListParagraph"/>
              <w:numPr>
                <w:ilvl w:val="2"/>
                <w:numId w:val="24"/>
              </w:numPr>
              <w:ind w:left="709" w:hanging="400"/>
              <w:jc w:val="both"/>
              <w:rPr>
                <w:rFonts w:ascii="Aptos" w:hAnsi="Aptos" w:cs="Calibri"/>
              </w:rPr>
            </w:pPr>
            <w:r w:rsidRPr="00AD7749">
              <w:rPr>
                <w:rFonts w:ascii="Aptos" w:hAnsi="Aptos" w:cs="Calibri"/>
                <w:sz w:val="20"/>
                <w:szCs w:val="20"/>
              </w:rPr>
              <w:t>paiement des indemnités à la suite d’un règlement amiable ou saisine de la juridiction compétente en cas de désaccord.</w:t>
            </w:r>
          </w:p>
        </w:tc>
      </w:tr>
    </w:tbl>
    <w:p w14:paraId="594D2D91" w14:textId="77777777" w:rsidR="00EC0A53" w:rsidRDefault="00EC0A53" w:rsidP="00216CAF">
      <w:pPr>
        <w:jc w:val="both"/>
        <w:rPr>
          <w:rFonts w:ascii="Aptos" w:hAnsi="Aptos" w:cs="Calibri"/>
        </w:rPr>
      </w:pPr>
    </w:p>
    <w:p w14:paraId="18186CD9" w14:textId="77777777" w:rsidR="00A64BE5" w:rsidRPr="00EB7B8A" w:rsidRDefault="00A64BE5" w:rsidP="00216CAF">
      <w:pPr>
        <w:jc w:val="both"/>
        <w:rPr>
          <w:rFonts w:ascii="Aptos" w:hAnsi="Aptos" w:cs="Calibri"/>
          <w:b/>
          <w:bCs/>
          <w:i/>
          <w:iCs/>
        </w:rPr>
      </w:pPr>
      <w:r w:rsidRPr="00EB7B8A">
        <w:rPr>
          <w:rFonts w:ascii="Aptos" w:hAnsi="Aptos" w:cs="Calibri"/>
          <w:b/>
          <w:bCs/>
          <w:i/>
          <w:iCs/>
        </w:rPr>
        <w:t>Droit foncier coutumier</w:t>
      </w:r>
    </w:p>
    <w:p w14:paraId="7C146F36" w14:textId="77777777" w:rsidR="00A64BE5" w:rsidRPr="00D401FA" w:rsidRDefault="00A64BE5" w:rsidP="00216CAF">
      <w:pPr>
        <w:jc w:val="both"/>
        <w:rPr>
          <w:rFonts w:ascii="Aptos" w:hAnsi="Aptos" w:cs="Calibri"/>
        </w:rPr>
      </w:pPr>
      <w:r w:rsidRPr="00D401FA">
        <w:rPr>
          <w:rFonts w:ascii="Aptos" w:hAnsi="Aptos" w:cs="Calibri"/>
        </w:rPr>
        <w:t>Le système de tenure foncière traditionnelle a été officiellement aboli par l’article 3 de l’ordonnance n° 83-127 du 5 juin 1983. Cependant, malgré cette réforme foncière, les terres rurales continuent d’être exploitées au moyen de permis d’exploitation ou selon des modes de détention traditionnels. Ainsi, un permis d’exploitation peut être délivré par le Wali (gouverneur) ou le Hakem (préfet) à un exploitant privé (individuel ou groupement), cette attribution constituant en pratique une étape préalable à la présentation d’une demande de concession. Par ailleurs, malgré la réforme foncière de 1983, l’administration tolère la présence de nombreux exploitants sur des terres utilisées selon des pratiques traditionnelles. Les propriétés collectives traditionnelles peuvent être maintenues dans un système communautaire, à condition que le lignage ou le clan se constitue en entité juridique répondant aux critères des coopératives, notamment l’égalité des droits et des obligations de tous les membres.</w:t>
      </w:r>
    </w:p>
    <w:p w14:paraId="62FF117C" w14:textId="7D7F211A" w:rsidR="00A64BE5" w:rsidRPr="00D401FA" w:rsidRDefault="00A64BE5" w:rsidP="00EB7B8A">
      <w:pPr>
        <w:pStyle w:val="Heading3"/>
      </w:pPr>
      <w:bookmarkStart w:id="87" w:name="_Toc227686326"/>
      <w:bookmarkStart w:id="88" w:name="_Toc227686372"/>
      <w:r w:rsidRPr="00D401FA">
        <w:t>Législation du travail</w:t>
      </w:r>
      <w:bookmarkEnd w:id="87"/>
      <w:bookmarkEnd w:id="88"/>
    </w:p>
    <w:p w14:paraId="5B06AAE2" w14:textId="3A15656A" w:rsidR="00A64BE5" w:rsidRPr="00D401FA" w:rsidRDefault="00A64BE5" w:rsidP="00216CAF">
      <w:pPr>
        <w:jc w:val="both"/>
        <w:rPr>
          <w:rFonts w:ascii="Aptos" w:hAnsi="Aptos" w:cs="Calibri"/>
        </w:rPr>
      </w:pPr>
      <w:r w:rsidRPr="00D401FA">
        <w:rPr>
          <w:rFonts w:ascii="Aptos" w:hAnsi="Aptos" w:cs="Calibri"/>
        </w:rPr>
        <w:t>Le Code du travail régit les relations professionnelles et protège les droits des travailleurs et des employeurs dans le pays. Il s’applique aux relations individuelles et collectives entre employeurs et travailleurs liés par un contrat de travail. Les fonctionnaires nommés à un emploi permanent dans une administration publique ainsi que les agents contractuels de l’État ne sont pas soumis à ce Code. Les travailleurs peuvent bénéficier de dispositions plus favorables prévues par les conventions collectives, les contrats individuels ou les usages.</w:t>
      </w:r>
      <w:r w:rsidR="00D955F6">
        <w:rPr>
          <w:rFonts w:ascii="Aptos" w:hAnsi="Aptos" w:cs="Calibri"/>
        </w:rPr>
        <w:t xml:space="preserve"> </w:t>
      </w:r>
      <w:r w:rsidRPr="00D401FA">
        <w:rPr>
          <w:rFonts w:ascii="Aptos" w:hAnsi="Aptos" w:cs="Calibri"/>
        </w:rPr>
        <w:t>Le Code du travail comprend huit livres couvrant notamment des domaines tels que :</w:t>
      </w:r>
    </w:p>
    <w:p w14:paraId="29D680FC" w14:textId="77777777" w:rsidR="00A64BE5" w:rsidRPr="00D401FA" w:rsidRDefault="00A64BE5" w:rsidP="008B048C">
      <w:pPr>
        <w:numPr>
          <w:ilvl w:val="0"/>
          <w:numId w:val="26"/>
        </w:numPr>
        <w:spacing w:after="0"/>
        <w:ind w:left="714" w:hanging="357"/>
        <w:jc w:val="both"/>
        <w:rPr>
          <w:rFonts w:ascii="Aptos" w:hAnsi="Aptos" w:cs="Calibri"/>
        </w:rPr>
      </w:pPr>
      <w:r w:rsidRPr="00D401FA">
        <w:rPr>
          <w:rFonts w:ascii="Aptos" w:hAnsi="Aptos" w:cs="Calibri"/>
        </w:rPr>
        <w:t>les relations de travail (contrat de travail, conventions collectives) ;</w:t>
      </w:r>
    </w:p>
    <w:p w14:paraId="251F1811" w14:textId="77777777" w:rsidR="00A64BE5" w:rsidRPr="00D401FA" w:rsidRDefault="00A64BE5" w:rsidP="008B048C">
      <w:pPr>
        <w:numPr>
          <w:ilvl w:val="0"/>
          <w:numId w:val="26"/>
        </w:numPr>
        <w:spacing w:after="0"/>
        <w:ind w:left="714" w:hanging="357"/>
        <w:jc w:val="both"/>
        <w:rPr>
          <w:rFonts w:ascii="Aptos" w:hAnsi="Aptos" w:cs="Calibri"/>
        </w:rPr>
      </w:pPr>
      <w:r w:rsidRPr="00D401FA">
        <w:rPr>
          <w:rFonts w:ascii="Aptos" w:hAnsi="Aptos" w:cs="Calibri"/>
        </w:rPr>
        <w:t>le personnel de l’entreprise (y compris les représentants des travailleurs et la main-d’œuvre occasionnelle, notamment le recours à des intermédiaires) ;</w:t>
      </w:r>
    </w:p>
    <w:p w14:paraId="34EB19D2" w14:textId="61286519" w:rsidR="00A64BE5" w:rsidRPr="00D401FA" w:rsidRDefault="00A64BE5" w:rsidP="008B048C">
      <w:pPr>
        <w:numPr>
          <w:ilvl w:val="0"/>
          <w:numId w:val="26"/>
        </w:numPr>
        <w:spacing w:after="0"/>
        <w:ind w:left="714" w:hanging="357"/>
        <w:jc w:val="both"/>
        <w:rPr>
          <w:rFonts w:ascii="Aptos" w:hAnsi="Aptos" w:cs="Calibri"/>
        </w:rPr>
      </w:pPr>
      <w:r w:rsidRPr="00D401FA">
        <w:rPr>
          <w:rFonts w:ascii="Aptos" w:hAnsi="Aptos" w:cs="Calibri"/>
        </w:rPr>
        <w:t xml:space="preserve">les conditions de travail (y compris l’interdiction du travail forcé, le travail des femmes </w:t>
      </w:r>
      <w:r w:rsidR="00D955F6">
        <w:rPr>
          <w:rFonts w:ascii="Aptos" w:hAnsi="Aptos" w:cs="Calibri"/>
        </w:rPr>
        <w:t>-</w:t>
      </w:r>
      <w:r w:rsidRPr="00D401FA">
        <w:rPr>
          <w:rFonts w:ascii="Aptos" w:hAnsi="Aptos" w:cs="Calibri"/>
        </w:rPr>
        <w:t xml:space="preserve"> notamment les conditions des femmes en congé de maternité et des mères allaitantes </w:t>
      </w:r>
      <w:r w:rsidR="00D955F6">
        <w:rPr>
          <w:rFonts w:ascii="Aptos" w:hAnsi="Aptos" w:cs="Calibri"/>
        </w:rPr>
        <w:t>-</w:t>
      </w:r>
      <w:r w:rsidRPr="00D401FA">
        <w:rPr>
          <w:rFonts w:ascii="Aptos" w:hAnsi="Aptos" w:cs="Calibri"/>
        </w:rPr>
        <w:t xml:space="preserve"> ainsi que le travail des enfants qui ne peuvent être employés avant l’âge de 14 ans (articles 153 et 154), le temps de travail, les congés payés, les salaires, la santé et la sécurité, et les services médicaux) ;</w:t>
      </w:r>
    </w:p>
    <w:p w14:paraId="3A4A585E" w14:textId="77777777" w:rsidR="00A64BE5" w:rsidRPr="00D401FA" w:rsidRDefault="00A64BE5" w:rsidP="008B048C">
      <w:pPr>
        <w:numPr>
          <w:ilvl w:val="0"/>
          <w:numId w:val="26"/>
        </w:numPr>
        <w:spacing w:after="0"/>
        <w:ind w:left="714" w:hanging="357"/>
        <w:jc w:val="both"/>
        <w:rPr>
          <w:rFonts w:ascii="Aptos" w:hAnsi="Aptos" w:cs="Calibri"/>
        </w:rPr>
      </w:pPr>
      <w:r w:rsidRPr="00D401FA">
        <w:rPr>
          <w:rFonts w:ascii="Aptos" w:hAnsi="Aptos" w:cs="Calibri"/>
        </w:rPr>
        <w:t>les groupements professionnels (y compris les syndicats, sections syndicales et unions de syndicats) ;</w:t>
      </w:r>
    </w:p>
    <w:p w14:paraId="512CE823" w14:textId="77777777" w:rsidR="00A64BE5" w:rsidRPr="00D401FA" w:rsidRDefault="00A64BE5" w:rsidP="008B048C">
      <w:pPr>
        <w:numPr>
          <w:ilvl w:val="0"/>
          <w:numId w:val="26"/>
        </w:numPr>
        <w:spacing w:after="0"/>
        <w:ind w:left="714" w:hanging="357"/>
        <w:jc w:val="both"/>
        <w:rPr>
          <w:rFonts w:ascii="Aptos" w:hAnsi="Aptos" w:cs="Calibri"/>
        </w:rPr>
      </w:pPr>
      <w:r w:rsidRPr="00D401FA">
        <w:rPr>
          <w:rFonts w:ascii="Aptos" w:hAnsi="Aptos" w:cs="Calibri"/>
        </w:rPr>
        <w:t>le règlement des conflits du travail (y compris les conflits individuels et collectifs, le rôle de l’inspection du travail, les procédures de conciliation ou de non-conciliation, ainsi que la création de juridictions du travail sous l’autorité du Ministère de la Justice) ;</w:t>
      </w:r>
    </w:p>
    <w:p w14:paraId="42D26653" w14:textId="77777777" w:rsidR="00A64BE5" w:rsidRPr="00D401FA" w:rsidRDefault="00A64BE5" w:rsidP="008B048C">
      <w:pPr>
        <w:numPr>
          <w:ilvl w:val="0"/>
          <w:numId w:val="26"/>
        </w:numPr>
        <w:spacing w:after="0"/>
        <w:ind w:left="714" w:hanging="357"/>
        <w:jc w:val="both"/>
        <w:rPr>
          <w:rFonts w:ascii="Aptos" w:hAnsi="Aptos" w:cs="Calibri"/>
        </w:rPr>
      </w:pPr>
      <w:r w:rsidRPr="00D401FA">
        <w:rPr>
          <w:rFonts w:ascii="Aptos" w:hAnsi="Aptos" w:cs="Calibri"/>
        </w:rPr>
        <w:t>etc.</w:t>
      </w:r>
    </w:p>
    <w:p w14:paraId="2F995AFF" w14:textId="77777777" w:rsidR="00EB7B8A" w:rsidRDefault="00EB7B8A" w:rsidP="00216CAF">
      <w:pPr>
        <w:jc w:val="both"/>
        <w:rPr>
          <w:rFonts w:ascii="Aptos" w:hAnsi="Aptos" w:cs="Calibri"/>
        </w:rPr>
      </w:pPr>
    </w:p>
    <w:p w14:paraId="1CAC4F4D" w14:textId="003C7B77" w:rsidR="00A64BE5" w:rsidRPr="00D401FA" w:rsidRDefault="00A64BE5" w:rsidP="00216CAF">
      <w:pPr>
        <w:jc w:val="both"/>
        <w:rPr>
          <w:rFonts w:ascii="Aptos" w:hAnsi="Aptos" w:cs="Calibri"/>
        </w:rPr>
      </w:pPr>
      <w:r w:rsidRPr="00D401FA">
        <w:rPr>
          <w:rFonts w:ascii="Aptos" w:hAnsi="Aptos" w:cs="Calibri"/>
        </w:rPr>
        <w:t>Selon le Code du travail mauritanien, les enfants ne peuvent être employés dans aucune entreprise, même en qualité d’apprentis, avant l’âge de 14 ans ou, s’ils ont atteint cet âge, s’ils sont encore soumis à l’obligation</w:t>
      </w:r>
      <w:r w:rsidR="00D955F6">
        <w:rPr>
          <w:rFonts w:ascii="Aptos" w:hAnsi="Aptos" w:cs="Calibri"/>
        </w:rPr>
        <w:t xml:space="preserve"> de scolarisation</w:t>
      </w:r>
      <w:r w:rsidRPr="00D401FA">
        <w:rPr>
          <w:rFonts w:ascii="Aptos" w:hAnsi="Aptos" w:cs="Calibri"/>
        </w:rPr>
        <w:t xml:space="preserve">. Aucun enfant âgé de plus de </w:t>
      </w:r>
      <w:r w:rsidR="00D955F6">
        <w:rPr>
          <w:rFonts w:ascii="Aptos" w:hAnsi="Aptos" w:cs="Calibri"/>
        </w:rPr>
        <w:t>12 ans</w:t>
      </w:r>
      <w:r w:rsidRPr="00D401FA">
        <w:rPr>
          <w:rFonts w:ascii="Aptos" w:hAnsi="Aptos" w:cs="Calibri"/>
        </w:rPr>
        <w:t xml:space="preserve"> et de moins de </w:t>
      </w:r>
      <w:r w:rsidR="00D955F6">
        <w:rPr>
          <w:rFonts w:ascii="Aptos" w:hAnsi="Aptos" w:cs="Calibri"/>
        </w:rPr>
        <w:t xml:space="preserve">14 </w:t>
      </w:r>
      <w:r w:rsidRPr="00D401FA">
        <w:rPr>
          <w:rFonts w:ascii="Aptos" w:hAnsi="Aptos" w:cs="Calibri"/>
        </w:rPr>
        <w:t>ans ne peut être employé sans l’autorisation expresse du Ministre chargé du Travail.</w:t>
      </w:r>
    </w:p>
    <w:p w14:paraId="196B0BF3" w14:textId="6B94579C" w:rsidR="00A64BE5" w:rsidRDefault="00A64BE5" w:rsidP="00216CAF">
      <w:pPr>
        <w:jc w:val="both"/>
        <w:rPr>
          <w:rFonts w:ascii="Aptos" w:hAnsi="Aptos" w:cs="Calibri"/>
        </w:rPr>
      </w:pPr>
      <w:r w:rsidRPr="00D401FA">
        <w:rPr>
          <w:rFonts w:ascii="Aptos" w:hAnsi="Aptos" w:cs="Calibri"/>
        </w:rPr>
        <w:t xml:space="preserve">Il est interdit d’employer des enfants de moins de </w:t>
      </w:r>
      <w:r w:rsidR="00D955F6">
        <w:rPr>
          <w:rFonts w:ascii="Aptos" w:hAnsi="Aptos" w:cs="Calibri"/>
        </w:rPr>
        <w:t>18</w:t>
      </w:r>
      <w:r w:rsidRPr="00D401FA">
        <w:rPr>
          <w:rFonts w:ascii="Aptos" w:hAnsi="Aptos" w:cs="Calibri"/>
        </w:rPr>
        <w:t xml:space="preserve"> ans, des femmes et des femmes enceintes à des travaux excédant leurs forces ou qui, par leur nature ou les conditions dans lesquelles ils sont exécutés, sont susceptibles de porter atteinte à leur santé, à leur intégrité physique ou à leur moralité.</w:t>
      </w:r>
    </w:p>
    <w:p w14:paraId="46D609C3" w14:textId="4A8546AB" w:rsidR="00EB7B8A" w:rsidRPr="00D401FA" w:rsidRDefault="00EB7B8A" w:rsidP="00216CAF">
      <w:pPr>
        <w:jc w:val="both"/>
        <w:rPr>
          <w:rFonts w:ascii="Aptos" w:hAnsi="Aptos" w:cs="Calibri"/>
        </w:rPr>
      </w:pPr>
      <w:r w:rsidRPr="00EB7B8A">
        <w:rPr>
          <w:rFonts w:ascii="Aptos" w:hAnsi="Aptos" w:cs="Calibri"/>
        </w:rPr>
        <w:t>Des arrêtés du Ministre chargé du Travail déterminent</w:t>
      </w:r>
      <w:r>
        <w:rPr>
          <w:rFonts w:ascii="Aptos" w:hAnsi="Aptos" w:cs="Calibri"/>
        </w:rPr>
        <w:t> :</w:t>
      </w:r>
    </w:p>
    <w:p w14:paraId="70F86232" w14:textId="388D042A" w:rsidR="00EB7B8A" w:rsidRDefault="00A64BE5" w:rsidP="008B048C">
      <w:pPr>
        <w:pStyle w:val="ListParagraph"/>
        <w:numPr>
          <w:ilvl w:val="0"/>
          <w:numId w:val="33"/>
        </w:numPr>
        <w:jc w:val="both"/>
        <w:rPr>
          <w:rFonts w:ascii="Aptos" w:hAnsi="Aptos" w:cs="Calibri"/>
        </w:rPr>
      </w:pPr>
      <w:r w:rsidRPr="00EB7B8A">
        <w:rPr>
          <w:rFonts w:ascii="Aptos" w:hAnsi="Aptos" w:cs="Calibri"/>
        </w:rPr>
        <w:t>les travaux interdits aux enfants et aux femmes, ou interdits aux enfants ou uniquement aux femmes ;</w:t>
      </w:r>
    </w:p>
    <w:p w14:paraId="3AB62DFD" w14:textId="34F1DFB4" w:rsidR="00A64BE5" w:rsidRPr="00EB7B8A" w:rsidRDefault="00A64BE5" w:rsidP="008B048C">
      <w:pPr>
        <w:pStyle w:val="ListParagraph"/>
        <w:numPr>
          <w:ilvl w:val="0"/>
          <w:numId w:val="33"/>
        </w:numPr>
        <w:jc w:val="both"/>
        <w:rPr>
          <w:rFonts w:ascii="Aptos" w:hAnsi="Aptos" w:cs="Calibri"/>
        </w:rPr>
      </w:pPr>
      <w:r w:rsidRPr="00EB7B8A">
        <w:rPr>
          <w:rFonts w:ascii="Aptos" w:hAnsi="Aptos" w:cs="Calibri"/>
        </w:rPr>
        <w:t>les établissements dans lesquels l’emploi des femmes et des enfants est soit interdit, soit autorisé sous certaines conditions.</w:t>
      </w:r>
    </w:p>
    <w:p w14:paraId="7A0F0C09" w14:textId="77777777" w:rsidR="00A64BE5" w:rsidRPr="00D401FA" w:rsidRDefault="00A64BE5" w:rsidP="00216CAF">
      <w:pPr>
        <w:jc w:val="both"/>
        <w:rPr>
          <w:rFonts w:ascii="Aptos" w:hAnsi="Aptos" w:cs="Calibri"/>
        </w:rPr>
      </w:pPr>
      <w:r w:rsidRPr="00D401FA">
        <w:rPr>
          <w:rFonts w:ascii="Aptos" w:hAnsi="Aptos" w:cs="Calibri"/>
        </w:rPr>
        <w:t>La loi n° 2004-017 portant Code du travail (article 5) interdit le travail forcé ou obligatoire. Elle dispose que le travailleur s’engage librement. Est interdit tout travail ou service exigé d’une personne sous la menace d’une peine quelconque et pour lequel cette personne ne s’est pas offerte de plein gré. Toute relation de travail, même en l’absence de contrat formel, dans laquelle une personne fournit un travail ou un service sans s’être offerte volontairement, est également prohibée. Toute violation de ces dispositions est sanctionnée par la loi n° 2003-025 du 17 juillet 2003 relative à la lutte contre la traite des personnes.</w:t>
      </w:r>
    </w:p>
    <w:p w14:paraId="2E4DC043" w14:textId="77777777" w:rsidR="00A64BE5" w:rsidRPr="00D401FA" w:rsidRDefault="00A64BE5" w:rsidP="00216CAF">
      <w:pPr>
        <w:jc w:val="both"/>
        <w:rPr>
          <w:rFonts w:ascii="Aptos" w:hAnsi="Aptos" w:cs="Calibri"/>
        </w:rPr>
      </w:pPr>
      <w:r w:rsidRPr="00D401FA">
        <w:rPr>
          <w:rFonts w:ascii="Aptos" w:hAnsi="Aptos" w:cs="Calibri"/>
        </w:rPr>
        <w:t>Cette interdiction s’applique à toute forme de travail forcé ou obligatoire, notamment le travail sous contrainte, le travail pour dettes ou toute forme analogue d’emploi. Aucune victime de traite des personnes ne sera employée dans le cadre du projet.</w:t>
      </w:r>
    </w:p>
    <w:p w14:paraId="77D5A214" w14:textId="77777777" w:rsidR="00A64BE5" w:rsidRDefault="00A64BE5" w:rsidP="00216CAF">
      <w:pPr>
        <w:jc w:val="both"/>
        <w:rPr>
          <w:rFonts w:ascii="Aptos" w:hAnsi="Aptos" w:cs="Calibri"/>
        </w:rPr>
      </w:pPr>
      <w:r w:rsidRPr="00D401FA">
        <w:rPr>
          <w:rFonts w:ascii="Aptos" w:hAnsi="Aptos" w:cs="Calibri"/>
        </w:rPr>
        <w:t>En juin 1961, la Mauritanie a ratifié la Convention n° 29 de l’Organisation internationale du Travail relative au travail forcé. Le travail forcé est défini comme tout travail ou service exigé d’un individu sous la menace d’une peine quelconque et pour lequel cet individu ne s’est pas offert de plein gré.</w:t>
      </w:r>
    </w:p>
    <w:p w14:paraId="637F08BA" w14:textId="77777777" w:rsidR="00D955F6" w:rsidRPr="00D401FA" w:rsidRDefault="00D955F6" w:rsidP="00216CAF">
      <w:pPr>
        <w:jc w:val="both"/>
        <w:rPr>
          <w:rFonts w:ascii="Aptos" w:hAnsi="Aptos" w:cs="Calibri"/>
        </w:rPr>
      </w:pPr>
    </w:p>
    <w:p w14:paraId="7F875536" w14:textId="08938FD9" w:rsidR="00DB1330" w:rsidRPr="00D401FA" w:rsidRDefault="00DB1330" w:rsidP="00EB7B8A">
      <w:pPr>
        <w:pStyle w:val="Heading3"/>
      </w:pPr>
      <w:bookmarkStart w:id="89" w:name="_Toc227686327"/>
      <w:bookmarkStart w:id="90" w:name="_Toc227686373"/>
      <w:r w:rsidRPr="00D401FA">
        <w:t>Gestion des contentieux en Mauritanie</w:t>
      </w:r>
      <w:bookmarkEnd w:id="89"/>
      <w:bookmarkEnd w:id="90"/>
    </w:p>
    <w:p w14:paraId="694A0E08" w14:textId="77777777" w:rsidR="00D955F6" w:rsidRDefault="00DB1330" w:rsidP="00216CAF">
      <w:pPr>
        <w:jc w:val="both"/>
        <w:rPr>
          <w:rFonts w:ascii="Aptos" w:hAnsi="Aptos" w:cs="Calibri"/>
        </w:rPr>
      </w:pPr>
      <w:r w:rsidRPr="00D401FA">
        <w:rPr>
          <w:rFonts w:ascii="Aptos" w:hAnsi="Aptos" w:cs="Calibri"/>
        </w:rPr>
        <w:t xml:space="preserve">En Mauritanie, où l’article 1 de la Constitution dispose que le pays « est une République islamique, indivisible, démocratique et sociale » et que « l’islam est la religion du peuple et de l’État », la justice étatique fonctionne en parallèle avec un système de justice islamique traditionnelle fondé sur le droit musulman (fiqh), relevant de la jurisprudence de la charia. </w:t>
      </w:r>
    </w:p>
    <w:p w14:paraId="07DAD112" w14:textId="77777777" w:rsidR="00670477" w:rsidRDefault="00DB1330" w:rsidP="00216CAF">
      <w:pPr>
        <w:jc w:val="both"/>
        <w:rPr>
          <w:rFonts w:ascii="Aptos" w:hAnsi="Aptos" w:cs="Calibri"/>
        </w:rPr>
      </w:pPr>
      <w:r w:rsidRPr="00D401FA">
        <w:rPr>
          <w:rFonts w:ascii="Aptos" w:hAnsi="Aptos" w:cs="Calibri"/>
        </w:rPr>
        <w:t xml:space="preserve">Rendue par les cadis en première instance (tribunaux de </w:t>
      </w:r>
      <w:proofErr w:type="spellStart"/>
      <w:r w:rsidRPr="00D401FA">
        <w:rPr>
          <w:rFonts w:ascii="Aptos" w:hAnsi="Aptos" w:cs="Calibri"/>
        </w:rPr>
        <w:t>moughataa</w:t>
      </w:r>
      <w:proofErr w:type="spellEnd"/>
      <w:r w:rsidRPr="00D401FA">
        <w:rPr>
          <w:rFonts w:ascii="Aptos" w:hAnsi="Aptos" w:cs="Calibri"/>
        </w:rPr>
        <w:t xml:space="preserve">), cette justice met l’accent sur les modes alternatifs de règlement des différends, en proposant des solutions plus rapides et moins formalistes (dont l’importance s’est récemment accrue). La réforme législative engagée par les autorités mauritaniennes en 2019 intègre ces modes alternatifs de règlement des différends en offrant aux justiciables la possibilité d’éviter le formalisme, la lourdeur et les coûts de la justice étatique, en recourant à la médiation, à l’arbitrage, ainsi qu’à la négociation et au consensus. L’article 1 de la loi du 29 avril 2019 (Code de l’arbitrage) introduit l’arbitrage comme un « mode alternatif » de règlement des litiges (y compris commerciaux), par rapport aux voies classiques de saisine des juridictions. Ce dispositif demeure facultatif, son recours reposant nécessairement sur le libre consentement des parties. Il constitue ainsi une alternative aux actions judiciaires habituellement portées devant les juridictions de première instance. Alors que le juge exerce sa fonction « au nom du peuple », l’arbitre est une personne indépendante de tout pouvoir étatique, désignée par les parties au litige, qui rend sa décision « en leur nom » et pour elles exclusivement. </w:t>
      </w:r>
    </w:p>
    <w:p w14:paraId="05DD0350" w14:textId="6B21B99E" w:rsidR="00DB1330" w:rsidRPr="00D401FA" w:rsidRDefault="00DB1330" w:rsidP="00216CAF">
      <w:pPr>
        <w:jc w:val="both"/>
        <w:rPr>
          <w:rFonts w:ascii="Aptos" w:hAnsi="Aptos" w:cs="Calibri"/>
        </w:rPr>
      </w:pPr>
      <w:r w:rsidRPr="00D401FA">
        <w:rPr>
          <w:rFonts w:ascii="Aptos" w:hAnsi="Aptos" w:cs="Calibri"/>
        </w:rPr>
        <w:t>Pour permettre d’éviter la saisine des juridictions, cette justice alternative peut prendre deux formes d’arbitrage (consignées par écrit), à savoir la « clause compromissoire » (accord par lequel les parties conviennent de recourir à l’arbitrage en cas de litige) et le « compromis » (accord par lequel les parties décident, pour un litige déjà né, de recourir à l’arbitrage).</w:t>
      </w:r>
    </w:p>
    <w:p w14:paraId="2139BC53" w14:textId="394F48BD" w:rsidR="00DB1330" w:rsidRPr="00D401FA" w:rsidRDefault="00DB1330" w:rsidP="00EB7B8A">
      <w:pPr>
        <w:pStyle w:val="Heading3"/>
      </w:pPr>
      <w:bookmarkStart w:id="91" w:name="_Toc227686328"/>
      <w:bookmarkStart w:id="92" w:name="_Toc227686374"/>
      <w:r w:rsidRPr="00D401FA">
        <w:t>Commission nationale des droits de l’homme (CNDH)</w:t>
      </w:r>
      <w:bookmarkEnd w:id="91"/>
      <w:bookmarkEnd w:id="92"/>
    </w:p>
    <w:p w14:paraId="3EFA6DFB" w14:textId="49B04BCA" w:rsidR="00DB1330" w:rsidRPr="00D401FA" w:rsidRDefault="00DB1330" w:rsidP="00216CAF">
      <w:pPr>
        <w:jc w:val="both"/>
        <w:rPr>
          <w:rFonts w:ascii="Aptos" w:hAnsi="Aptos" w:cs="Calibri"/>
        </w:rPr>
      </w:pPr>
      <w:r w:rsidRPr="00D401FA">
        <w:rPr>
          <w:rFonts w:ascii="Aptos" w:hAnsi="Aptos" w:cs="Calibri"/>
        </w:rPr>
        <w:t xml:space="preserve">La Commission </w:t>
      </w:r>
      <w:r w:rsidR="00AB2B61">
        <w:rPr>
          <w:rFonts w:ascii="Aptos" w:hAnsi="Aptos" w:cs="Calibri"/>
        </w:rPr>
        <w:t>N</w:t>
      </w:r>
      <w:r w:rsidRPr="00D401FA">
        <w:rPr>
          <w:rFonts w:ascii="Aptos" w:hAnsi="Aptos" w:cs="Calibri"/>
        </w:rPr>
        <w:t xml:space="preserve">ationale des </w:t>
      </w:r>
      <w:r w:rsidR="00AB2B61">
        <w:rPr>
          <w:rFonts w:ascii="Aptos" w:hAnsi="Aptos" w:cs="Calibri"/>
        </w:rPr>
        <w:t>D</w:t>
      </w:r>
      <w:r w:rsidRPr="00D401FA">
        <w:rPr>
          <w:rFonts w:ascii="Aptos" w:hAnsi="Aptos" w:cs="Calibri"/>
        </w:rPr>
        <w:t>roits de l’</w:t>
      </w:r>
      <w:r w:rsidR="00AB2B61">
        <w:rPr>
          <w:rFonts w:ascii="Aptos" w:hAnsi="Aptos" w:cs="Calibri"/>
        </w:rPr>
        <w:t>H</w:t>
      </w:r>
      <w:r w:rsidRPr="00D401FA">
        <w:rPr>
          <w:rFonts w:ascii="Aptos" w:hAnsi="Aptos" w:cs="Calibri"/>
        </w:rPr>
        <w:t xml:space="preserve">omme (CNDH) est une institution constitutionnelle chargée de missions de conseil, d’observation, d’alerte, de médiation et d’évaluation en matière de droits humains. Depuis 2015, elle assure le suivi de la situation des droits de l’homme dans le pays dans l’objectif </w:t>
      </w:r>
      <w:r w:rsidR="00AB2B61">
        <w:rPr>
          <w:rFonts w:ascii="Aptos" w:hAnsi="Aptos" w:cs="Calibri"/>
        </w:rPr>
        <w:t>d’identifier</w:t>
      </w:r>
      <w:r w:rsidRPr="00D401FA">
        <w:rPr>
          <w:rFonts w:ascii="Aptos" w:hAnsi="Aptos" w:cs="Calibri"/>
        </w:rPr>
        <w:t xml:space="preserve"> les tendances systémiques en matière de violations. En matière de protection des droits humains et de recours, la loi organique n° 2017-016 du 5 juillet 2017 définit les missions de la CNDH. Celle-ci jouit d’une indépendance ainsi que d’une autonomie juridique et financière, et permet aux personnes s’estimant lésées de la saisir. La CNDH intervient dans tous les cas de violations des droits humains (civils, politiques, économiques, sociaux ou culturels). Elle est habilitée à recevoir des plaintes, à engager des actions en justice en cas de violations et dispose également d’un pouvoir d’auto-saisine.</w:t>
      </w:r>
    </w:p>
    <w:p w14:paraId="20F1F5B1" w14:textId="5AC42687" w:rsidR="00DB1330" w:rsidRPr="00D401FA" w:rsidRDefault="00DB1330" w:rsidP="00EB7B8A">
      <w:pPr>
        <w:pStyle w:val="Heading3"/>
      </w:pPr>
      <w:bookmarkStart w:id="93" w:name="_Toc227686329"/>
      <w:bookmarkStart w:id="94" w:name="_Toc227686375"/>
      <w:r w:rsidRPr="00D401FA">
        <w:t>Stratégie nationale d’institutionnalisation du genre (SNIG 2015)</w:t>
      </w:r>
      <w:bookmarkEnd w:id="93"/>
      <w:bookmarkEnd w:id="94"/>
    </w:p>
    <w:p w14:paraId="7D6B4D48" w14:textId="3C5EE44A" w:rsidR="00DB1330" w:rsidRPr="00D401FA" w:rsidRDefault="00DB1330" w:rsidP="00216CAF">
      <w:pPr>
        <w:jc w:val="both"/>
        <w:rPr>
          <w:rFonts w:ascii="Aptos" w:hAnsi="Aptos" w:cs="Calibri"/>
        </w:rPr>
      </w:pPr>
      <w:r w:rsidRPr="00D401FA">
        <w:rPr>
          <w:rFonts w:ascii="Aptos" w:hAnsi="Aptos" w:cs="Calibri"/>
        </w:rPr>
        <w:t xml:space="preserve">Adoptée en 2015, la Stratégie nationale d’institutionnalisation du genre vise à assurer l’intégration de la dimension genre dans l’ensemble des secteurs de développement, l’objectif étant de promouvoir l’égalité et l’équité entre les sexes et de garantir </w:t>
      </w:r>
      <w:r w:rsidR="00802B5B">
        <w:rPr>
          <w:rFonts w:ascii="Aptos" w:hAnsi="Aptos" w:cs="Calibri"/>
        </w:rPr>
        <w:t>la promotion</w:t>
      </w:r>
      <w:r w:rsidRPr="00D401FA">
        <w:rPr>
          <w:rFonts w:ascii="Aptos" w:hAnsi="Aptos" w:cs="Calibri"/>
        </w:rPr>
        <w:t xml:space="preserve"> des femmes. Elle s’inscrit dans l’engagement en faveur de la promotion et de la défense des droits humains ainsi que de la lutte contre toutes les formes de discrimination. Son principe fondamental est que l’égalité entre les femmes et les hommes en droits et en devoirs constitue à la fois une condition et un levier du développement humain durable. Cette stratégie est conforme aux recommandations issues des grandes conférences internationales, notamment la Plateforme d’action de Beijing, en faveur d’un développement humain, durable et équitable fondé sur les principes d’équité et d’égalité de genre. Elle repose sur deux types principaux de mesures : (i) l’intégration systématique de la dimension genre dans les politiques, les lois, les programmes, les budgets, les structures et les cultures institutionnelles ; (ii) la mise en œuvre de mesures spécifiques et d’actions positives en faveur des femmes (ou des hommes), dans une logique de rattrapage visant à corriger les déséquilibres à l’origine des inégalités.</w:t>
      </w:r>
    </w:p>
    <w:p w14:paraId="62B7B4D2" w14:textId="2FEADB3E" w:rsidR="00133BB4" w:rsidRPr="00D401FA" w:rsidRDefault="00133BB4" w:rsidP="00EB7B8A">
      <w:pPr>
        <w:pStyle w:val="Heading2"/>
      </w:pPr>
      <w:bookmarkStart w:id="95" w:name="_Toc227686286"/>
      <w:bookmarkStart w:id="96" w:name="_Toc227686330"/>
      <w:bookmarkStart w:id="97" w:name="_Toc227686376"/>
      <w:r w:rsidRPr="00D401FA">
        <w:t>Procédures de sélection environnementale et sociale des projets</w:t>
      </w:r>
      <w:bookmarkEnd w:id="95"/>
      <w:bookmarkEnd w:id="96"/>
      <w:bookmarkEnd w:id="97"/>
    </w:p>
    <w:p w14:paraId="3CA0C0B2" w14:textId="77777777" w:rsidR="00133BB4" w:rsidRPr="00D401FA" w:rsidRDefault="00133BB4" w:rsidP="00216CAF">
      <w:pPr>
        <w:jc w:val="both"/>
        <w:rPr>
          <w:rFonts w:ascii="Aptos" w:hAnsi="Aptos" w:cs="Calibri"/>
        </w:rPr>
      </w:pPr>
      <w:r w:rsidRPr="00D401FA">
        <w:rPr>
          <w:rFonts w:ascii="Aptos" w:hAnsi="Aptos" w:cs="Calibri"/>
        </w:rPr>
        <w:t xml:space="preserve">La procédure de sélection est engagée à la demande du promoteur du projet concerné, qui soumet son projet à l’examen de la DECE (voir figure 5), après l’avoir classé au préalable dans l’une des catégories A, B ou C. La DECE valide ou rectifie cette classification en se référant à l’annexe 1 du décret n° 2007-105 relatif à l’EIES ainsi qu’aux exigences de la Banque mondiale en la matière. L’issue de cet examen est notifiée au promoteur afin qu’il puisse faire réaliser, par un consultant, une EIE, une </w:t>
      </w:r>
      <w:proofErr w:type="gramStart"/>
      <w:r w:rsidRPr="00D401FA">
        <w:rPr>
          <w:rFonts w:ascii="Aptos" w:hAnsi="Aptos" w:cs="Calibri"/>
        </w:rPr>
        <w:t>NIES</w:t>
      </w:r>
      <w:proofErr w:type="gramEnd"/>
      <w:r w:rsidRPr="00D401FA">
        <w:rPr>
          <w:rFonts w:ascii="Aptos" w:hAnsi="Aptos" w:cs="Calibri"/>
        </w:rPr>
        <w:t xml:space="preserve"> ou une simple prescription environnementale et sociale, de manière à éviter, éliminer ou atténuer autant que possible les impacts environnementaux et/ou sociaux négatifs du projet.</w:t>
      </w:r>
    </w:p>
    <w:p w14:paraId="7E0D2F6C" w14:textId="5FE99EAE" w:rsidR="00133BB4" w:rsidRDefault="00133BB4" w:rsidP="00216CAF">
      <w:pPr>
        <w:jc w:val="both"/>
        <w:rPr>
          <w:rFonts w:ascii="Aptos" w:hAnsi="Aptos" w:cs="Calibri"/>
          <w:b/>
          <w:bCs/>
        </w:rPr>
      </w:pPr>
      <w:r w:rsidRPr="00D401FA">
        <w:rPr>
          <w:rFonts w:ascii="Aptos" w:hAnsi="Aptos" w:cs="Calibri"/>
          <w:b/>
          <w:bCs/>
        </w:rPr>
        <w:t>Figure 5 : Processus de sélection environnementale et sociale des projets</w:t>
      </w:r>
    </w:p>
    <w:p w14:paraId="00250B87" w14:textId="2837E833" w:rsidR="00EB7B8A" w:rsidRPr="00D401FA" w:rsidRDefault="00EB7B8A" w:rsidP="00216CAF">
      <w:pPr>
        <w:jc w:val="both"/>
        <w:rPr>
          <w:rFonts w:ascii="Aptos" w:hAnsi="Aptos" w:cs="Calibri"/>
        </w:rPr>
      </w:pPr>
      <w:r w:rsidRPr="00C07AB1">
        <w:rPr>
          <w:rFonts w:cs="Calibri"/>
          <w:noProof/>
        </w:rPr>
        <w:drawing>
          <wp:inline distT="0" distB="0" distL="0" distR="0" wp14:anchorId="03D3C22D" wp14:editId="241BA103">
            <wp:extent cx="4876205" cy="3671248"/>
            <wp:effectExtent l="0" t="0" r="635" b="5715"/>
            <wp:docPr id="1597812278" name="Image 1" descr="An image containing Text, Screenshot, Font, Paralle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12278" name="Image 1" descr="Une image contenant texte, capture d’écran, Police, Parallèle&#10;&#10;Description générée automatiquement"/>
                    <pic:cNvPicPr/>
                  </pic:nvPicPr>
                  <pic:blipFill>
                    <a:blip r:embed="rId14"/>
                    <a:stretch>
                      <a:fillRect/>
                    </a:stretch>
                  </pic:blipFill>
                  <pic:spPr>
                    <a:xfrm>
                      <a:off x="0" y="0"/>
                      <a:ext cx="4900003" cy="3689166"/>
                    </a:xfrm>
                    <a:prstGeom prst="rect">
                      <a:avLst/>
                    </a:prstGeom>
                  </pic:spPr>
                </pic:pic>
              </a:graphicData>
            </a:graphic>
          </wp:inline>
        </w:drawing>
      </w:r>
    </w:p>
    <w:p w14:paraId="44913A00" w14:textId="1499BAB4" w:rsidR="006B003F" w:rsidRPr="00D401FA" w:rsidRDefault="006B003F" w:rsidP="00216CAF">
      <w:pPr>
        <w:jc w:val="both"/>
        <w:rPr>
          <w:rFonts w:ascii="Aptos" w:hAnsi="Aptos" w:cs="Calibri"/>
        </w:rPr>
      </w:pPr>
      <w:r w:rsidRPr="00D401FA">
        <w:rPr>
          <w:rFonts w:ascii="Aptos" w:hAnsi="Aptos" w:cs="Calibri"/>
        </w:rPr>
        <w:br w:type="page"/>
      </w:r>
    </w:p>
    <w:p w14:paraId="3279A690" w14:textId="233D5125" w:rsidR="006B003F" w:rsidRPr="00D401FA" w:rsidRDefault="006B003F" w:rsidP="00EB7B8A">
      <w:pPr>
        <w:pStyle w:val="Heading1"/>
      </w:pPr>
      <w:bookmarkStart w:id="98" w:name="_Toc227686287"/>
      <w:bookmarkStart w:id="99" w:name="_Toc227686331"/>
      <w:bookmarkStart w:id="100" w:name="_Toc227686377"/>
      <w:r w:rsidRPr="00D401FA">
        <w:t>ÉVALUATION DES CAPACITÉS</w:t>
      </w:r>
      <w:bookmarkEnd w:id="98"/>
      <w:bookmarkEnd w:id="99"/>
      <w:bookmarkEnd w:id="100"/>
    </w:p>
    <w:p w14:paraId="7FF7BE65" w14:textId="77777777" w:rsidR="006B003F" w:rsidRPr="00D401FA" w:rsidRDefault="006B003F" w:rsidP="00216CAF">
      <w:pPr>
        <w:jc w:val="both"/>
        <w:rPr>
          <w:rFonts w:ascii="Aptos" w:hAnsi="Aptos" w:cs="Calibri"/>
        </w:rPr>
      </w:pPr>
      <w:r w:rsidRPr="00D401FA">
        <w:rPr>
          <w:rFonts w:ascii="Aptos" w:hAnsi="Aptos" w:cs="Calibri"/>
        </w:rPr>
        <w:t>Le présent chapitre porte sur l’évaluation des capacités des cadres nationaux de politiques, institutionnels, juridiques et réglementaires, et identifie à ce titre leurs principales forces et faiblesses.</w:t>
      </w:r>
    </w:p>
    <w:p w14:paraId="45997B37" w14:textId="5FA3E41D" w:rsidR="006B003F" w:rsidRPr="00D401FA" w:rsidRDefault="006B003F" w:rsidP="00EB7B8A">
      <w:pPr>
        <w:pStyle w:val="Heading2"/>
      </w:pPr>
      <w:bookmarkStart w:id="101" w:name="_Toc227686288"/>
      <w:bookmarkStart w:id="102" w:name="_Toc227686332"/>
      <w:bookmarkStart w:id="103" w:name="_Toc227686378"/>
      <w:r w:rsidRPr="00D401FA">
        <w:t xml:space="preserve">Cadre institutionnel, politiques </w:t>
      </w:r>
      <w:r w:rsidRPr="00EB7B8A">
        <w:t>et</w:t>
      </w:r>
      <w:r w:rsidRPr="00D401FA">
        <w:t xml:space="preserve"> stratégies</w:t>
      </w:r>
      <w:bookmarkEnd w:id="101"/>
      <w:bookmarkEnd w:id="102"/>
      <w:bookmarkEnd w:id="103"/>
    </w:p>
    <w:p w14:paraId="2C18C672" w14:textId="00BFA2E3" w:rsidR="006B003F" w:rsidRPr="00D401FA" w:rsidRDefault="006B003F" w:rsidP="00216CAF">
      <w:pPr>
        <w:jc w:val="both"/>
        <w:rPr>
          <w:rFonts w:ascii="Aptos" w:hAnsi="Aptos" w:cs="Calibri"/>
        </w:rPr>
      </w:pPr>
      <w:r w:rsidRPr="00D401FA">
        <w:rPr>
          <w:rFonts w:ascii="Aptos" w:hAnsi="Aptos" w:cs="Calibri"/>
        </w:rPr>
        <w:t xml:space="preserve">La Mauritanie dispose d’un cadre institutionnel </w:t>
      </w:r>
      <w:r w:rsidR="007B645A">
        <w:rPr>
          <w:rFonts w:ascii="Aptos" w:hAnsi="Aptos" w:cs="Calibri"/>
        </w:rPr>
        <w:t xml:space="preserve">bien </w:t>
      </w:r>
      <w:r w:rsidRPr="00D401FA">
        <w:rPr>
          <w:rFonts w:ascii="Aptos" w:hAnsi="Aptos" w:cs="Calibri"/>
        </w:rPr>
        <w:t xml:space="preserve">opérationnel définissant les politiques et stratégies de développement durable et permettant de gérer les risques et impacts environnementaux et sociaux (E&amp;S) associés aux différents types d’opérations et de projets aux niveaux national, régional et local. Les responsables du Ministère de l’Environnement (MEDD) en général, et de la Direction de l’Évaluation et du Contrôle Environnemental (DECE) en particulier, disposent d’une expertise appropriée en matière de gestion E&amp;S et assurent la mise en œuvre et le suivi des évaluations environnementales des projets. D’autres ministères sectoriels – tels que le Ministère des Pêches et de l’Économie maritime ainsi que ceux de l’Agriculture et de l’Élevage – disposent également, au sein de leurs directions et services, de cadres et d’experts capables d’apporter des réponses aux principaux défis environnementaux et climatiques auxquels est confrontée la Mauritanie. La gestion foncière implique plusieurs ministères, notamment les ministères des Finances, de l’Intérieur et de la Décentralisation, de l’Administration territoriale ainsi que de l’Habitat, de l’Urbanisme et de l’Aménagement du </w:t>
      </w:r>
      <w:r w:rsidR="007B645A">
        <w:rPr>
          <w:rFonts w:ascii="Aptos" w:hAnsi="Aptos" w:cs="Calibri"/>
        </w:rPr>
        <w:t>T</w:t>
      </w:r>
      <w:r w:rsidRPr="00D401FA">
        <w:rPr>
          <w:rFonts w:ascii="Aptos" w:hAnsi="Aptos" w:cs="Calibri"/>
        </w:rPr>
        <w:t>erritoire, en collaboration avec des comités aux niveaux national et régional.</w:t>
      </w:r>
    </w:p>
    <w:p w14:paraId="4D81D89B" w14:textId="77777777" w:rsidR="006B003F" w:rsidRPr="00D401FA" w:rsidRDefault="006B003F" w:rsidP="00216CAF">
      <w:pPr>
        <w:jc w:val="both"/>
        <w:rPr>
          <w:rFonts w:ascii="Aptos" w:hAnsi="Aptos" w:cs="Calibri"/>
        </w:rPr>
      </w:pPr>
      <w:r w:rsidRPr="00D401FA">
        <w:rPr>
          <w:rFonts w:ascii="Aptos" w:hAnsi="Aptos" w:cs="Calibri"/>
        </w:rPr>
        <w:t>Cependant, il convient de reconnaître que ce cadre présente également certaines faiblesses : de manière générale, la faible sensibilisation aux enjeux de gestion environnementale caractérise les acteurs étatiques et non étatiques. Les institutions ont tendance à fonctionner en silos sectoriels, menant des processus de planification parallèles – souvent non coordonnés et parfois contradictoires – aux niveaux national, régional et local, tels que dans les domaines de la production agricole, de la gestion des bassins versants, de la foresterie, de la biodiversité, de la bioénergie, de l’adaptation au changement climatique, de l’atténuation du changement climatique, de l’exploitation minière, de la pêche et du développement communautaire. Cette situation favorise une approche fragmentée et cloisonnée des interventions, conduisant souvent à des poches de projets axés sur des activités potentiellement synergiques mais mises en œuvre séparément, telles que l’agroforesterie, l’atténuation du changement climatique et l’énergie rurale. En outre, plusieurs stratégies ou plans d’action sont obsolètes (et devraient donc être actualisés) ou ne font pas l’objet d’un véritable dispositif de suivi et de contrôle.</w:t>
      </w:r>
    </w:p>
    <w:p w14:paraId="095FA04F" w14:textId="22B67A9D" w:rsidR="006B003F" w:rsidRPr="00D401FA" w:rsidRDefault="006B003F" w:rsidP="00216CAF">
      <w:pPr>
        <w:jc w:val="both"/>
        <w:rPr>
          <w:rFonts w:ascii="Aptos" w:hAnsi="Aptos" w:cs="Calibri"/>
        </w:rPr>
      </w:pPr>
      <w:r w:rsidRPr="00D401FA">
        <w:rPr>
          <w:rFonts w:ascii="Aptos" w:hAnsi="Aptos" w:cs="Calibri"/>
        </w:rPr>
        <w:t>Bien que la DECE dispose de personnel compétent au niveau central, ses ressources humaines et logistiques restent insuffisantes, ne lui permettant pas de couvrir l’ensemble du territoire, d’assurer le suivi de tous les projets ou de respecter les délais réglementaires (les ressources financières lui permettant de fonctionner de manière adéquate proviennent généralement de sources extérieures). La part du budget national consacrée au secteur de l’environnement reste faible, en raison d’une faible sensibilisation des décideurs à l’importance de ces enjeux. Par ailleurs, bien que le récent décret n° 081-2024 du 30 avril 2024 ait davantage précisé leurs mandats, plusieurs facteurs entravent le bon fonctionnement des Délégations Régionales de l’Environnement (DREV) au niveau des wilayas : le manque de coordination avec le niveau central</w:t>
      </w:r>
      <w:r w:rsidR="00E350FA">
        <w:rPr>
          <w:rFonts w:ascii="Aptos" w:hAnsi="Aptos" w:cs="Calibri"/>
        </w:rPr>
        <w:t> </w:t>
      </w:r>
      <w:r w:rsidRPr="00D401FA">
        <w:rPr>
          <w:rFonts w:ascii="Aptos" w:hAnsi="Aptos" w:cs="Calibri"/>
        </w:rPr>
        <w:t>; la maîtrise insuffisante des procédures de gestion E&amp;S et de leur application ; et l’insuffisance des ressources humaines et opérationnelles nécessaires pour assurer les missions de contrôle et de suivi des projets mis en œuvre dans leurs territoires respectifs.</w:t>
      </w:r>
    </w:p>
    <w:p w14:paraId="6AA8E94C" w14:textId="624D406A" w:rsidR="006B003F" w:rsidRDefault="006B003F" w:rsidP="00216CAF">
      <w:pPr>
        <w:jc w:val="both"/>
        <w:rPr>
          <w:rFonts w:ascii="Aptos" w:hAnsi="Aptos" w:cs="Calibri"/>
        </w:rPr>
      </w:pPr>
      <w:r w:rsidRPr="00D401FA">
        <w:rPr>
          <w:rFonts w:ascii="Aptos" w:hAnsi="Aptos" w:cs="Calibri"/>
        </w:rPr>
        <w:t>Les programmes et politiques d’adaptation face aux nombreux défis climatiques s’inscrivent seulement dans le court terme et ne sont pas systématiquement intégrés dans les politiques sectorielles. Dans un contexte de très forte vulnérabilité au changement climatique (voir encadré 8 ci-dessous) et malgré l’existence d’un cadre politique et institutionnel en matière d’environnement, de développement durable et de changement climatique, plusieurs facteurs entravent l’institutionnalisation de l’adaptation au changement climatique, notamment un accès limité aux connaissances climatiques permettant d’éclairer les processus de planification résiliente ; de faibles capacités techniques pour la mise en œuvre des politiques, stratégies et plans d’adaptation ; et des capacités financières limitées ainsi que l’absence de mécanismes permettant de coordonner et de financer la planification intersectorielle. Selon les conclusions d’un rapport de 2015, les principaux obstacles à la gestion des catastrophes sont les suivants : (i) une prise en compte insuffisante de cette problématique dans les textes juridiques, liée à une connaissance limitée des concepts de réduction des risques de catastrophe ; (ii) un manque de professionnels spécialisés dans ce domaine ; (iii) une sensibilisation encore insuffisante des autorités locales à la gestion des catastrophes, bien qu’elles soient souvent conscientes des problèmes auxquels elles sont confrontées ; et (iv) l’absence d’une structure centrale capable de coordonner les activités multisectorielles entre les différents ministères.</w:t>
      </w:r>
    </w:p>
    <w:p w14:paraId="48BBEFF4" w14:textId="77777777" w:rsidR="00EB7B8A" w:rsidRPr="00D401FA" w:rsidRDefault="00EB7B8A" w:rsidP="00EB7B8A">
      <w:pPr>
        <w:jc w:val="both"/>
        <w:rPr>
          <w:rFonts w:ascii="Aptos" w:hAnsi="Aptos" w:cs="Calibri"/>
          <w:b/>
          <w:bCs/>
        </w:rPr>
      </w:pPr>
      <w:r w:rsidRPr="00D401FA">
        <w:rPr>
          <w:rFonts w:ascii="Aptos" w:hAnsi="Aptos" w:cs="Calibri"/>
          <w:b/>
          <w:bCs/>
        </w:rPr>
        <w:t>Encadré 8 : Vulnérabilité de la Mauritanie au changement climatique</w:t>
      </w:r>
    </w:p>
    <w:tbl>
      <w:tblPr>
        <w:tblStyle w:val="TableGrid"/>
        <w:tblW w:w="0" w:type="auto"/>
        <w:tblLook w:val="04A0" w:firstRow="1" w:lastRow="0" w:firstColumn="1" w:lastColumn="0" w:noHBand="0" w:noVBand="1"/>
      </w:tblPr>
      <w:tblGrid>
        <w:gridCol w:w="9062"/>
      </w:tblGrid>
      <w:tr w:rsidR="006B003F" w:rsidRPr="00D401FA" w14:paraId="151D1525" w14:textId="77777777" w:rsidTr="00F34F90">
        <w:tc>
          <w:tcPr>
            <w:tcW w:w="9062" w:type="dxa"/>
            <w:shd w:val="clear" w:color="auto" w:fill="EDEDED" w:themeFill="accent3" w:themeFillTint="33"/>
          </w:tcPr>
          <w:p w14:paraId="72BD282C" w14:textId="77777777" w:rsidR="006B003F" w:rsidRPr="00AD7749" w:rsidRDefault="006B003F" w:rsidP="00216CAF">
            <w:pPr>
              <w:spacing w:after="160" w:line="259" w:lineRule="auto"/>
              <w:jc w:val="both"/>
              <w:rPr>
                <w:rFonts w:ascii="Aptos" w:hAnsi="Aptos" w:cs="Calibri"/>
                <w:sz w:val="20"/>
                <w:szCs w:val="20"/>
              </w:rPr>
            </w:pPr>
            <w:r w:rsidRPr="00AD7749">
              <w:rPr>
                <w:rFonts w:ascii="Aptos" w:hAnsi="Aptos" w:cs="Calibri"/>
                <w:sz w:val="20"/>
                <w:szCs w:val="20"/>
              </w:rPr>
              <w:t>Selon l’Indice mondial d’adaptation Notre Dame, la Mauritanie se classe au 145</w:t>
            </w:r>
            <w:r w:rsidRPr="00AD7749">
              <w:rPr>
                <w:rFonts w:ascii="Arial" w:hAnsi="Arial" w:cs="Arial"/>
                <w:sz w:val="20"/>
                <w:szCs w:val="20"/>
              </w:rPr>
              <w:t>ᵉ</w:t>
            </w:r>
            <w:r w:rsidRPr="00AD7749">
              <w:rPr>
                <w:rFonts w:ascii="Aptos" w:hAnsi="Aptos" w:cs="Calibri"/>
                <w:sz w:val="20"/>
                <w:szCs w:val="20"/>
              </w:rPr>
              <w:t xml:space="preserve"> rang sur 185 pays, derrière de nombreux pays comparables de la région tels que le Ghana, le Sénégal, la Côte d’Ivoire, le Maroc et l’Algérie. La Mauritanie figure parmi les pays les plus vulnérables au changement climatique et son niveau de préparation face à ces enjeux est inférieur à la moyenne des pays comparables.</w:t>
            </w:r>
          </w:p>
          <w:p w14:paraId="5DBB1A57" w14:textId="77777777" w:rsidR="006B003F" w:rsidRPr="00AD7749" w:rsidRDefault="006B003F" w:rsidP="00216CAF">
            <w:pPr>
              <w:spacing w:after="160" w:line="259" w:lineRule="auto"/>
              <w:jc w:val="both"/>
              <w:rPr>
                <w:rFonts w:ascii="Aptos" w:hAnsi="Aptos" w:cs="Calibri"/>
                <w:sz w:val="20"/>
                <w:szCs w:val="20"/>
              </w:rPr>
            </w:pPr>
            <w:r w:rsidRPr="00AD7749">
              <w:rPr>
                <w:rFonts w:ascii="Aptos" w:hAnsi="Aptos" w:cs="Calibri"/>
                <w:sz w:val="20"/>
                <w:szCs w:val="20"/>
              </w:rPr>
              <w:t>Dès 2022, un rapport de la Banque mondiale estimait que le produit intérieur brut (PIB) de la Mauritanie pourrait diminuer de 2,8 pour cent à l’horizon 2030 en raison des effets du changement climatique, avec une aggravation des pertes économiques à l’horizon 2050 en l’absence d’investissements urgents en matière d’adaptation.</w:t>
            </w:r>
          </w:p>
          <w:p w14:paraId="6DEE6D45" w14:textId="77777777" w:rsidR="006B003F" w:rsidRPr="00AD7749" w:rsidRDefault="006B003F" w:rsidP="00216CAF">
            <w:pPr>
              <w:spacing w:after="160" w:line="259" w:lineRule="auto"/>
              <w:jc w:val="both"/>
              <w:rPr>
                <w:rFonts w:ascii="Aptos" w:hAnsi="Aptos" w:cs="Calibri"/>
                <w:sz w:val="20"/>
                <w:szCs w:val="20"/>
              </w:rPr>
            </w:pPr>
            <w:r w:rsidRPr="00AD7749">
              <w:rPr>
                <w:rFonts w:ascii="Aptos" w:hAnsi="Aptos" w:cs="Calibri"/>
                <w:sz w:val="20"/>
                <w:szCs w:val="20"/>
              </w:rPr>
              <w:t>La Mauritanie est exposée à des sécheresses, aux inondations et à l’érosion côtière, phénomènes aggravés par la variabilité climatique. Les chocs liés au changement climatique affectent particulièrement les régions du sud et de l’est, y compris leurs zones urbaines. Les moyens de subsistance et la sécurité alimentaire de la majorité des populations pauvres vivant dans les zones reculées du sud sont particulièrement affectés. L’augmentation des températures, la désertification, les sécheresses, les inondations, l’érosion des sols et la diminution des terres arables contribuent à accentuer les migrations vers les centres urbains les plus proches ou vers les villes à forte croissance que sont Nouakchott et Nouadhibou.</w:t>
            </w:r>
          </w:p>
          <w:p w14:paraId="07DF1B0A" w14:textId="0C579763" w:rsidR="006B003F" w:rsidRPr="00D401FA" w:rsidRDefault="006B003F" w:rsidP="00216CAF">
            <w:pPr>
              <w:spacing w:after="160" w:line="259" w:lineRule="auto"/>
              <w:jc w:val="both"/>
              <w:rPr>
                <w:rFonts w:ascii="Aptos" w:hAnsi="Aptos" w:cs="Calibri"/>
              </w:rPr>
            </w:pPr>
            <w:r w:rsidRPr="00AD7749">
              <w:rPr>
                <w:rFonts w:ascii="Aptos" w:hAnsi="Aptos" w:cs="Calibri"/>
                <w:i/>
                <w:iCs/>
                <w:sz w:val="20"/>
                <w:szCs w:val="20"/>
              </w:rPr>
              <w:t xml:space="preserve">(Sources : </w:t>
            </w:r>
            <w:hyperlink r:id="rId15" w:history="1">
              <w:r w:rsidRPr="00AD7749">
                <w:rPr>
                  <w:rStyle w:val="Hyperlink"/>
                  <w:rFonts w:ascii="Aptos" w:hAnsi="Aptos" w:cs="Calibri"/>
                  <w:i/>
                  <w:iCs/>
                  <w:sz w:val="20"/>
                  <w:szCs w:val="20"/>
                </w:rPr>
                <w:t>www.gain.nd.edu</w:t>
              </w:r>
            </w:hyperlink>
            <w:r w:rsidRPr="00AD7749">
              <w:rPr>
                <w:rFonts w:ascii="Aptos" w:hAnsi="Aptos" w:cs="Calibri"/>
                <w:i/>
                <w:iCs/>
                <w:sz w:val="20"/>
                <w:szCs w:val="20"/>
              </w:rPr>
              <w:t xml:space="preserve"> ; Banque mondiale, 2022 ; PAD du projet P169332</w:t>
            </w:r>
            <w:r w:rsidRPr="00AD7749">
              <w:rPr>
                <w:rFonts w:ascii="Aptos" w:hAnsi="Aptos" w:cs="Calibri"/>
                <w:sz w:val="20"/>
                <w:szCs w:val="20"/>
              </w:rPr>
              <w:t>)</w:t>
            </w:r>
          </w:p>
        </w:tc>
      </w:tr>
    </w:tbl>
    <w:p w14:paraId="2841FF48" w14:textId="77777777" w:rsidR="006B003F" w:rsidRPr="00D401FA" w:rsidRDefault="006B003F" w:rsidP="00216CAF">
      <w:pPr>
        <w:jc w:val="both"/>
        <w:rPr>
          <w:rFonts w:ascii="Aptos" w:hAnsi="Aptos" w:cs="Calibri"/>
        </w:rPr>
      </w:pPr>
    </w:p>
    <w:p w14:paraId="5220A9A7" w14:textId="43FB49A2" w:rsidR="008847A0" w:rsidRPr="00D401FA" w:rsidRDefault="008847A0" w:rsidP="00216CAF">
      <w:pPr>
        <w:jc w:val="both"/>
        <w:rPr>
          <w:rFonts w:ascii="Aptos" w:hAnsi="Aptos" w:cs="Calibri"/>
        </w:rPr>
      </w:pPr>
      <w:r w:rsidRPr="00D401FA">
        <w:rPr>
          <w:rFonts w:ascii="Aptos" w:hAnsi="Aptos" w:cs="Calibri"/>
        </w:rPr>
        <w:t xml:space="preserve">Malgré les avancées de la politique de décentralisation et certaines expériences prometteuses, les communes ne disposent pas de compétences spécifiques en matière d’enjeux environnementaux stratégiques. Selon une revue institutionnelle officielle du secteur de l’environnement réalisée en 2010, dont les conclusions restent pertinentes aujourd’hui, les communes sont restées le « parent pauvre » du secteur environnemental et l’avis des maires et des conseils municipaux, </w:t>
      </w:r>
      <w:r w:rsidR="00E350FA">
        <w:rPr>
          <w:rFonts w:ascii="Aptos" w:hAnsi="Aptos" w:cs="Calibri"/>
        </w:rPr>
        <w:t xml:space="preserve">dans les rares cas où il </w:t>
      </w:r>
      <w:r w:rsidRPr="00D401FA">
        <w:rPr>
          <w:rFonts w:ascii="Aptos" w:hAnsi="Aptos" w:cs="Calibri"/>
        </w:rPr>
        <w:t>est sollicité, n’a qu’une faible valeur consultative, y compris dans des domaines tels que l’eau ou l’arbitrage des conflits entre agriculteurs et éleveurs. Deux des principales recommandations d’un rapport de 2019 sur les capacités institutionnelles des communes mauritaniennes portent sur la mise en place et l’opérationnalisation de la décentralisation communale ainsi que sur le développement et la mise en œuvre, par les ministères sectoriels, de programmes déconcentrés permettant aux structures déconcentrées et décentralisées d’exercer pleinement leurs compétences. Un rapport de la Banque mondiale sur la politique foncière en Mauritanie recommande de renforcer la déconcentration et la décentralisation des responsabilités en matière de gestion foncière, notamment par l’adoption de nouveaux textes favorisant l’accès des populations à l’information foncière.</w:t>
      </w:r>
    </w:p>
    <w:p w14:paraId="4A195970" w14:textId="77777777" w:rsidR="008847A0" w:rsidRPr="00D401FA" w:rsidRDefault="008847A0" w:rsidP="00216CAF">
      <w:pPr>
        <w:jc w:val="both"/>
        <w:rPr>
          <w:rFonts w:ascii="Aptos" w:hAnsi="Aptos" w:cs="Calibri"/>
        </w:rPr>
      </w:pPr>
      <w:r w:rsidRPr="00D401FA">
        <w:rPr>
          <w:rFonts w:ascii="Aptos" w:hAnsi="Aptos" w:cs="Calibri"/>
        </w:rPr>
        <w:t>En outre, l’implication des organisations locales ou des associations d’usagers des ressources naturelles dans les questions environnementales et foncières reste limitée, malgré les dispositions du Code pastoral permettant, sous certaines conditions, un transfert de responsabilités. Au niveau des collectivités territoriales, les Commissions Environnement et Développement Local (CEDL), bien que prévues par la loi, sont rarement opérationnelles. En pratique, en dehors de la gestion des déchets urbains, les communes interviennent peu, voire pas du tout, dans la gestion de l’environnement et la protection de la biodiversité, et ne disposent ni des ressources ni des compétences nécessaires pour lutter contre l’exploitation des ressources de leurs territoires.</w:t>
      </w:r>
    </w:p>
    <w:p w14:paraId="272520DD" w14:textId="20C24F37" w:rsidR="008847A0" w:rsidRPr="00D401FA" w:rsidRDefault="008847A0" w:rsidP="00EB7B8A">
      <w:pPr>
        <w:pStyle w:val="Heading2"/>
      </w:pPr>
      <w:bookmarkStart w:id="104" w:name="_Toc227686289"/>
      <w:bookmarkStart w:id="105" w:name="_Toc227686333"/>
      <w:bookmarkStart w:id="106" w:name="_Toc227686379"/>
      <w:r w:rsidRPr="00D401FA">
        <w:t>Cadre réglementaire environnemental et social</w:t>
      </w:r>
      <w:bookmarkEnd w:id="104"/>
      <w:bookmarkEnd w:id="105"/>
      <w:bookmarkEnd w:id="106"/>
    </w:p>
    <w:p w14:paraId="566A7D13" w14:textId="77777777" w:rsidR="008847A0" w:rsidRPr="00D401FA" w:rsidRDefault="008847A0" w:rsidP="00216CAF">
      <w:pPr>
        <w:jc w:val="both"/>
        <w:rPr>
          <w:rFonts w:ascii="Aptos" w:hAnsi="Aptos" w:cs="Calibri"/>
        </w:rPr>
      </w:pPr>
      <w:r w:rsidRPr="00D401FA">
        <w:rPr>
          <w:rFonts w:ascii="Aptos" w:hAnsi="Aptos" w:cs="Calibri"/>
        </w:rPr>
        <w:t>La Mauritanie s’est dotée d’un cadre juridique en matière d’évaluation des impacts environnementaux et sociaux, reposant sur un ensemble de lois, règlements, guides techniques et normes bien définis au niveau national. Cet arsenal juridique et réglementaire permet de prendre en compte les principaux enjeux de gestion E&amp;S, couvrant les études d’impact, l’adoption ou la promulgation de plusieurs codes ainsi que la réorganisation du foncier et de la propriété. Ce cadre, qui fixe les règles et procédures de base en matière d’évaluation des impacts et des risques E&amp;S, est relativement complet et cohérent, et comprend un ensemble d’outils fonctionnels de diagnostic et d’évaluation de la nature des impacts, garantissant l’analyse des risques et l’élaboration d’instruments de sauvegarde E&amp;S appropriés pour les projets couvrant l’ensemble du territoire national. Le dispositif de gestion E&amp;S intègre des enquêtes publiques ainsi que des mécanismes de diffusion de l’information à destination de la société civile en général et des populations affectées par les projets en particulier.</w:t>
      </w:r>
    </w:p>
    <w:p w14:paraId="4E4D23FC" w14:textId="77777777" w:rsidR="008847A0" w:rsidRPr="00D401FA" w:rsidRDefault="008847A0" w:rsidP="00216CAF">
      <w:pPr>
        <w:jc w:val="both"/>
        <w:rPr>
          <w:rFonts w:ascii="Aptos" w:hAnsi="Aptos" w:cs="Calibri"/>
        </w:rPr>
      </w:pPr>
      <w:r w:rsidRPr="00D401FA">
        <w:rPr>
          <w:rFonts w:ascii="Aptos" w:hAnsi="Aptos" w:cs="Calibri"/>
        </w:rPr>
        <w:t>Par ailleurs, la Mauritanie a élaboré une stratégie de développement durable et un plan d’action environnemental conformément à ses engagements pris à Rio en 1992 et aux principales conventions internationales qu’elle a ratifiées. Le système d’EIE repose sur des directives bien définies couvrant l’examen préalable, l’analyse des alternatives, les procédures de catégorisation des projets, l’évaluation des impacts, les mesures d’atténuation des risques, les plans de gestion et les enquêtes publiques. Le système national de protection de l’environnement vise la protection, la conservation et la restauration des habitats naturels à travers un ensemble de lois, règlements, directives et normes. En matière foncière, la réglementation nationale a pour objet d’éviter ou de réduire au minimum les impacts négatifs liés à l’acquisition de terres pour cause d’utilité publique, de prendre en compte les effets économiques et sociaux négatifs de cette acquisition et d’encadrer la gestion des litiges fonciers ainsi que les mécanismes d’indemnisation.</w:t>
      </w:r>
    </w:p>
    <w:p w14:paraId="006A4B79" w14:textId="77777777" w:rsidR="008847A0" w:rsidRPr="00D401FA" w:rsidRDefault="008847A0" w:rsidP="00216CAF">
      <w:pPr>
        <w:jc w:val="both"/>
        <w:rPr>
          <w:rFonts w:ascii="Aptos" w:hAnsi="Aptos" w:cs="Calibri"/>
        </w:rPr>
      </w:pPr>
      <w:r w:rsidRPr="00D401FA">
        <w:rPr>
          <w:rFonts w:ascii="Aptos" w:hAnsi="Aptos" w:cs="Calibri"/>
        </w:rPr>
        <w:t>Cependant, un rapport de la Banque mondiale sur la politique foncière en Mauritanie a mis en évidence plusieurs insuffisances, notamment :</w:t>
      </w:r>
    </w:p>
    <w:p w14:paraId="5387EDBE" w14:textId="77777777" w:rsidR="00EB7B8A" w:rsidRDefault="008847A0" w:rsidP="008B048C">
      <w:pPr>
        <w:pStyle w:val="ListParagraph"/>
        <w:numPr>
          <w:ilvl w:val="1"/>
          <w:numId w:val="18"/>
        </w:numPr>
        <w:ind w:left="709"/>
        <w:jc w:val="both"/>
        <w:rPr>
          <w:rFonts w:ascii="Aptos" w:hAnsi="Aptos" w:cs="Calibri"/>
        </w:rPr>
      </w:pPr>
      <w:r w:rsidRPr="00EB7B8A">
        <w:rPr>
          <w:rFonts w:ascii="Aptos" w:hAnsi="Aptos" w:cs="Calibri"/>
        </w:rPr>
        <w:t>l’inadéquation des textes fonciers existants et la multiplicité des organes décisionnels en matière foncière (les politiques et législations en vigueur n’ayant pas favorisé l’émergence d’une gouvernance foncière efficace) ;</w:t>
      </w:r>
    </w:p>
    <w:p w14:paraId="18111BD8" w14:textId="77777777" w:rsidR="00EB7B8A" w:rsidRDefault="008847A0" w:rsidP="008B048C">
      <w:pPr>
        <w:pStyle w:val="ListParagraph"/>
        <w:numPr>
          <w:ilvl w:val="1"/>
          <w:numId w:val="18"/>
        </w:numPr>
        <w:ind w:left="709"/>
        <w:jc w:val="both"/>
        <w:rPr>
          <w:rFonts w:ascii="Aptos" w:hAnsi="Aptos" w:cs="Calibri"/>
        </w:rPr>
      </w:pPr>
      <w:r w:rsidRPr="00EB7B8A">
        <w:rPr>
          <w:rFonts w:ascii="Aptos" w:hAnsi="Aptos" w:cs="Calibri"/>
        </w:rPr>
        <w:t>la prédominance de la centralisation dans la gestion foncière et l’insuffisance d’implication effective et appropriée des acteurs non étatiques, y compris la société civile, les organisations paysannes, les autorités traditionnelles, les femmes et le secteur privé ;</w:t>
      </w:r>
    </w:p>
    <w:p w14:paraId="407B6FC6" w14:textId="77777777" w:rsidR="008468CB" w:rsidRDefault="008847A0" w:rsidP="008B048C">
      <w:pPr>
        <w:pStyle w:val="ListParagraph"/>
        <w:numPr>
          <w:ilvl w:val="1"/>
          <w:numId w:val="18"/>
        </w:numPr>
        <w:ind w:left="709"/>
        <w:jc w:val="both"/>
        <w:rPr>
          <w:rFonts w:ascii="Aptos" w:hAnsi="Aptos" w:cs="Calibri"/>
        </w:rPr>
      </w:pPr>
      <w:r w:rsidRPr="00EB7B8A">
        <w:rPr>
          <w:rFonts w:ascii="Aptos" w:hAnsi="Aptos" w:cs="Calibri"/>
        </w:rPr>
        <w:t>l’absence de prise en compte des dimensions écologiques, sociales et culturelles dans les politiques foncières ;</w:t>
      </w:r>
    </w:p>
    <w:p w14:paraId="28C59DE4" w14:textId="5BFE2BDD" w:rsidR="00EB7B8A" w:rsidRDefault="008847A0" w:rsidP="008B048C">
      <w:pPr>
        <w:pStyle w:val="ListParagraph"/>
        <w:numPr>
          <w:ilvl w:val="1"/>
          <w:numId w:val="18"/>
        </w:numPr>
        <w:ind w:left="709"/>
        <w:jc w:val="both"/>
        <w:rPr>
          <w:rFonts w:ascii="Aptos" w:hAnsi="Aptos" w:cs="Calibri"/>
        </w:rPr>
      </w:pPr>
      <w:r w:rsidRPr="00EB7B8A">
        <w:rPr>
          <w:rFonts w:ascii="Aptos" w:hAnsi="Aptos" w:cs="Calibri"/>
        </w:rPr>
        <w:t>la précarité des droits fonciers coutumiers ;</w:t>
      </w:r>
    </w:p>
    <w:p w14:paraId="07B8E119" w14:textId="77777777" w:rsidR="00EB7B8A" w:rsidRDefault="008847A0" w:rsidP="008B048C">
      <w:pPr>
        <w:pStyle w:val="ListParagraph"/>
        <w:numPr>
          <w:ilvl w:val="1"/>
          <w:numId w:val="18"/>
        </w:numPr>
        <w:ind w:left="709"/>
        <w:jc w:val="both"/>
        <w:rPr>
          <w:rFonts w:ascii="Aptos" w:hAnsi="Aptos" w:cs="Calibri"/>
        </w:rPr>
      </w:pPr>
      <w:r w:rsidRPr="00EB7B8A">
        <w:rPr>
          <w:rFonts w:ascii="Aptos" w:hAnsi="Aptos" w:cs="Calibri"/>
        </w:rPr>
        <w:t>la marginalisation des questions liées au genre et au foncier, notamment en ce qui concerne l’accès des femmes à la terre et à la propriété foncière ;</w:t>
      </w:r>
    </w:p>
    <w:p w14:paraId="0FA818D7" w14:textId="77777777" w:rsidR="00EB7B8A" w:rsidRDefault="008847A0" w:rsidP="008B048C">
      <w:pPr>
        <w:pStyle w:val="ListParagraph"/>
        <w:numPr>
          <w:ilvl w:val="1"/>
          <w:numId w:val="18"/>
        </w:numPr>
        <w:ind w:left="709"/>
        <w:jc w:val="both"/>
        <w:rPr>
          <w:rFonts w:ascii="Aptos" w:hAnsi="Aptos" w:cs="Calibri"/>
        </w:rPr>
      </w:pPr>
      <w:r w:rsidRPr="00EB7B8A">
        <w:rPr>
          <w:rFonts w:ascii="Aptos" w:hAnsi="Aptos" w:cs="Calibri"/>
        </w:rPr>
        <w:t xml:space="preserve"> l’absence de mécanismes de suivi et d’évaluation de la mise en œuvre des politiques et de la législation foncières ;</w:t>
      </w:r>
    </w:p>
    <w:p w14:paraId="0530306F" w14:textId="0FEA10A6" w:rsidR="00EB7B8A" w:rsidRDefault="008847A0" w:rsidP="008B048C">
      <w:pPr>
        <w:pStyle w:val="ListParagraph"/>
        <w:numPr>
          <w:ilvl w:val="1"/>
          <w:numId w:val="18"/>
        </w:numPr>
        <w:ind w:left="709"/>
        <w:jc w:val="both"/>
        <w:rPr>
          <w:rFonts w:ascii="Aptos" w:hAnsi="Aptos" w:cs="Calibri"/>
        </w:rPr>
      </w:pPr>
      <w:r w:rsidRPr="00EB7B8A">
        <w:rPr>
          <w:rFonts w:ascii="Aptos" w:hAnsi="Aptos" w:cs="Calibri"/>
        </w:rPr>
        <w:t xml:space="preserve"> </w:t>
      </w:r>
      <w:r w:rsidR="00C71F21">
        <w:rPr>
          <w:rFonts w:ascii="Aptos" w:hAnsi="Aptos" w:cs="Calibri"/>
        </w:rPr>
        <w:t>l</w:t>
      </w:r>
      <w:r w:rsidR="00BC22BE">
        <w:rPr>
          <w:rFonts w:ascii="Aptos" w:hAnsi="Aptos" w:cs="Calibri"/>
        </w:rPr>
        <w:t>’</w:t>
      </w:r>
      <w:r w:rsidRPr="00EB7B8A">
        <w:rPr>
          <w:rFonts w:ascii="Aptos" w:hAnsi="Aptos" w:cs="Calibri"/>
        </w:rPr>
        <w:t>insuffisance de capacités des agents de l’administration foncière à tous les niveaux (national, régional et local) ;</w:t>
      </w:r>
    </w:p>
    <w:p w14:paraId="08DE1B08" w14:textId="1746762C" w:rsidR="008847A0" w:rsidRPr="00EB7B8A" w:rsidRDefault="008847A0" w:rsidP="008B048C">
      <w:pPr>
        <w:pStyle w:val="ListParagraph"/>
        <w:numPr>
          <w:ilvl w:val="1"/>
          <w:numId w:val="18"/>
        </w:numPr>
        <w:ind w:left="709"/>
        <w:jc w:val="both"/>
        <w:rPr>
          <w:rFonts w:ascii="Aptos" w:hAnsi="Aptos" w:cs="Calibri"/>
        </w:rPr>
      </w:pPr>
      <w:r w:rsidRPr="00EB7B8A">
        <w:rPr>
          <w:rFonts w:ascii="Aptos" w:hAnsi="Aptos" w:cs="Calibri"/>
        </w:rPr>
        <w:t>l’insuffisance des ressources humaines et financières ainsi que l’absence d’outils appropriés de gestion foncière.</w:t>
      </w:r>
    </w:p>
    <w:p w14:paraId="4BBFAC9E" w14:textId="1752AA84" w:rsidR="008847A0" w:rsidRPr="00D401FA" w:rsidRDefault="008847A0" w:rsidP="00216CAF">
      <w:pPr>
        <w:jc w:val="both"/>
        <w:rPr>
          <w:rFonts w:ascii="Aptos" w:hAnsi="Aptos" w:cs="Calibri"/>
        </w:rPr>
      </w:pPr>
      <w:r w:rsidRPr="00D401FA">
        <w:rPr>
          <w:rFonts w:ascii="Aptos" w:hAnsi="Aptos" w:cs="Calibri"/>
        </w:rPr>
        <w:t xml:space="preserve">Malgré l’existence de lois et de règlements visant à protéger l’environnement, de nombreux cadres juridiques restent nettement insuffisants au regard des défis du développement durable et des impacts du changement climatique. </w:t>
      </w:r>
      <w:r w:rsidR="00BC22BE" w:rsidRPr="00BC22BE">
        <w:rPr>
          <w:rFonts w:ascii="Aptos" w:hAnsi="Aptos" w:cs="Calibri"/>
        </w:rPr>
        <w:t>Les textes de certaines lois devraient être révisés, sans parler du fait que certains décrets n’ont jamais été appliqués (par exemple, le Code de l’eau (Ordonnance n° 85,144 du 4 juillet 1985), le Code de la santé et le Code de l’environnement).</w:t>
      </w:r>
      <w:r w:rsidR="00BC22BE">
        <w:rPr>
          <w:rFonts w:ascii="Aptos" w:hAnsi="Aptos" w:cs="Calibri"/>
        </w:rPr>
        <w:t xml:space="preserve"> </w:t>
      </w:r>
      <w:r w:rsidRPr="00D401FA">
        <w:rPr>
          <w:rFonts w:ascii="Aptos" w:hAnsi="Aptos" w:cs="Calibri"/>
        </w:rPr>
        <w:t>Comme l’ont montré les analyses du plan d’action environnemental national 2017-2021, les réformes législatives dans le domaine de la gestion environnementale sont confrontées à plusieurs difficultés, notamment : la dispersion des textes relatifs au secteur, source d’incohérences et de vides juridiques ; la prolifération des textes juridiques, qui ne permet pas de clarifier les rôles et responsabilités ni d’éviter les dysfonctionnements dans les domaines de la protection de l’environnement, de la gestion des ressources naturelles, de l’aménagement du territoire et de la lutte contre la pollution ; les contradictions et le manque d’harmonisation entre les textes, entraînant des blocages et, par conséquent, leur non-application ; ainsi que l’absence de normes de protection environnementale, ce qui rend le suivi environnemental et le contrôle de la pollution difficiles et peu efficaces. Le système national de gestion de la biodiversité ne comprend pas de mécanismes adéquats permettant d’évaluer les apports liés à la biodiversité ou les coûts associés à sa dégradation et à sa restauration. Par ailleurs, les pêcheries continentales en Mauritanie sont actuellement fortement surexploitées, avec des captures supérieures de 30 à 40 pour cent au rendement maximal durable.</w:t>
      </w:r>
    </w:p>
    <w:p w14:paraId="083AA349" w14:textId="77777777" w:rsidR="002E563A" w:rsidRPr="00D401FA" w:rsidRDefault="002E563A" w:rsidP="00216CAF">
      <w:pPr>
        <w:jc w:val="both"/>
        <w:rPr>
          <w:rFonts w:ascii="Aptos" w:hAnsi="Aptos" w:cs="Calibri"/>
        </w:rPr>
      </w:pPr>
      <w:r w:rsidRPr="00D401FA">
        <w:rPr>
          <w:rFonts w:ascii="Aptos" w:hAnsi="Aptos" w:cs="Calibri"/>
        </w:rPr>
        <w:t>Les enquêtes publiques sont généralement jugées insatisfaisantes, notamment parce que les parties prenantes locales ne sont pas suffisamment sensibilisées en amont aux enjeux des projets et semblent davantage intéressées par ce que les projets peuvent leur offrir en termes d’opportunités immédiates d’emploi et de retombées économiques directes. En outre, les résultats de ces enquêtes ne font pas l’objet d’un suivi tout au long du cycle de mise en œuvre des projets. Les outils d’évaluation E&amp;S ne permettent pas de prendre en compte efficacement certaines problématiques, notamment celles liées à la santé humaine, au genre, au changement climatique ou aux risques de catastrophes naturelles. Les groupes socialement et économiquement vulnérables ne bénéficient pas de mesures de protection spécifiques.</w:t>
      </w:r>
    </w:p>
    <w:p w14:paraId="4C96D4ED" w14:textId="304332DE" w:rsidR="002E563A" w:rsidRPr="00D401FA" w:rsidRDefault="002E563A" w:rsidP="00216CAF">
      <w:pPr>
        <w:jc w:val="both"/>
        <w:rPr>
          <w:rFonts w:ascii="Aptos" w:hAnsi="Aptos" w:cs="Calibri"/>
        </w:rPr>
      </w:pPr>
      <w:r w:rsidRPr="00D401FA">
        <w:rPr>
          <w:rFonts w:ascii="Aptos" w:hAnsi="Aptos" w:cs="Calibri"/>
        </w:rPr>
        <w:t xml:space="preserve">La plupart des EIES suivent une trame théorique, mais souvent de manière mécanique, sans véritable effort d’adaptation à la nature des projets ou aux contextes environnementaux. Certains facteurs locaux, notamment la dégradation de l’environnement, la déforestation, la mauvaise gestion des déchets et la prolifération des bidonvilles, sont insuffisamment </w:t>
      </w:r>
      <w:r w:rsidR="00E73C91">
        <w:rPr>
          <w:rFonts w:ascii="Aptos" w:hAnsi="Aptos" w:cs="Calibri"/>
        </w:rPr>
        <w:t>évalués</w:t>
      </w:r>
      <w:r w:rsidRPr="00D401FA">
        <w:rPr>
          <w:rFonts w:ascii="Aptos" w:hAnsi="Aptos" w:cs="Calibri"/>
        </w:rPr>
        <w:t>. Leur impact sur l’accélération de l’érosion des sols et la réduction de la capacité des terres à absorber les précipitations n’est pas soumis à une obligation de prise en compte dans les évaluations environnementales et sociales (alors même que l’insuffisance des systèmes de drainage aggrave les risques d’inondation dans certaines zones de la Mauritanie, en empêchant une évacuation adéquate des eaux dans les zones urbaines).</w:t>
      </w:r>
    </w:p>
    <w:p w14:paraId="517364C9" w14:textId="7D3BC519" w:rsidR="002E563A" w:rsidRPr="00D401FA" w:rsidRDefault="002E563A" w:rsidP="00216CAF">
      <w:pPr>
        <w:jc w:val="both"/>
        <w:rPr>
          <w:rFonts w:ascii="Aptos" w:hAnsi="Aptos" w:cs="Calibri"/>
        </w:rPr>
      </w:pPr>
      <w:r w:rsidRPr="00D401FA">
        <w:rPr>
          <w:rFonts w:ascii="Aptos" w:hAnsi="Aptos" w:cs="Calibri"/>
        </w:rPr>
        <w:t xml:space="preserve">Enfin, les textes juridiques mauritaniens relatifs à l’environnement ne prévoient ni le recours aux évaluations environnementales stratégiques ni aux évaluations régionales : les études se limitent aux EIES approfondies et aux NIES simplifiées, sans intégrer d’autres instruments plus adaptés à des contextes variés, en cohérence avec les bonnes pratiques et normes internationales. En particulier, les procédures nationales ne prévoient pas de mécanismes garantissant la transparence et la redevabilité (au niveau des promoteurs de projets, des décideurs ou des consultants chargés des EIE). Plusieurs rapports soulignent que le MEDD, autorité habilitée à délivrer le Certificat de </w:t>
      </w:r>
      <w:r w:rsidR="00E73C91">
        <w:rPr>
          <w:rFonts w:ascii="Aptos" w:hAnsi="Aptos" w:cs="Calibri"/>
        </w:rPr>
        <w:t>c</w:t>
      </w:r>
      <w:r w:rsidRPr="00D401FA">
        <w:rPr>
          <w:rFonts w:ascii="Aptos" w:hAnsi="Aptos" w:cs="Calibri"/>
        </w:rPr>
        <w:t xml:space="preserve">onformité </w:t>
      </w:r>
      <w:r w:rsidR="00E73C91">
        <w:rPr>
          <w:rFonts w:ascii="Aptos" w:hAnsi="Aptos" w:cs="Calibri"/>
        </w:rPr>
        <w:t>e</w:t>
      </w:r>
      <w:r w:rsidRPr="00D401FA">
        <w:rPr>
          <w:rFonts w:ascii="Aptos" w:hAnsi="Aptos" w:cs="Calibri"/>
        </w:rPr>
        <w:t>nvironnementale (CCE), n’est tenu ni d’associer les ministères techniques concernés à ses décisions, ni de rendre publiques ses décisions ni d’en motiver le contenu (par exemple à la suite de l’acceptation ou du refus de délivrance d’un CCE). La législation ne prévoit pas non plus de mécanismes de revue externes, indépendants ou multisectoriels des études d’impact. Il n’existe pas de système de suivi transparent des recommandations issues des EIES (par exemple via un système automatisé en ligne).</w:t>
      </w:r>
    </w:p>
    <w:p w14:paraId="52EE40F2" w14:textId="77C00D9B" w:rsidR="002E563A" w:rsidRPr="00D401FA" w:rsidRDefault="002E563A" w:rsidP="00EB7B8A">
      <w:pPr>
        <w:pStyle w:val="Heading2"/>
      </w:pPr>
      <w:bookmarkStart w:id="107" w:name="_Toc227686290"/>
      <w:bookmarkStart w:id="108" w:name="_Toc227686334"/>
      <w:bookmarkStart w:id="109" w:name="_Toc227686380"/>
      <w:r w:rsidRPr="00D401FA">
        <w:t>Renforcement des capacités et développement des connaissances fondamentales</w:t>
      </w:r>
      <w:bookmarkEnd w:id="107"/>
      <w:bookmarkEnd w:id="108"/>
      <w:bookmarkEnd w:id="109"/>
    </w:p>
    <w:p w14:paraId="193E5A29" w14:textId="77777777" w:rsidR="002E563A" w:rsidRPr="00D401FA" w:rsidRDefault="002E563A" w:rsidP="00216CAF">
      <w:pPr>
        <w:jc w:val="both"/>
        <w:rPr>
          <w:rFonts w:ascii="Aptos" w:hAnsi="Aptos" w:cs="Calibri"/>
        </w:rPr>
      </w:pPr>
      <w:r w:rsidRPr="00D401FA">
        <w:rPr>
          <w:rFonts w:ascii="Aptos" w:hAnsi="Aptos" w:cs="Calibri"/>
        </w:rPr>
        <w:t xml:space="preserve">Au niveau des départements ministériels sectoriels en général, et du MEDD, de la DECE et des DREV en particulier, les techniciens bénéficient de certains programmes de renforcement des capacités (parfois assurés par la </w:t>
      </w:r>
      <w:bookmarkStart w:id="110" w:name="_Hlk227733546"/>
      <w:r w:rsidRPr="00D401FA">
        <w:rPr>
          <w:rFonts w:ascii="Aptos" w:hAnsi="Aptos" w:cs="Calibri"/>
        </w:rPr>
        <w:t>Commission de l’Environnement</w:t>
      </w:r>
      <w:bookmarkEnd w:id="110"/>
      <w:r w:rsidRPr="00D401FA">
        <w:rPr>
          <w:rFonts w:ascii="Aptos" w:hAnsi="Aptos" w:cs="Calibri"/>
        </w:rPr>
        <w:t>). Cependant, ils ne bénéficient pas de formations continues adéquates ni de formations avancées sur certaines thématiques, notamment celles liées aux nouveaux enjeux du changement climatique et du développement durable.</w:t>
      </w:r>
    </w:p>
    <w:p w14:paraId="08158CFF" w14:textId="77777777" w:rsidR="002E563A" w:rsidRPr="00D401FA" w:rsidRDefault="002E563A" w:rsidP="00216CAF">
      <w:pPr>
        <w:jc w:val="both"/>
        <w:rPr>
          <w:rFonts w:ascii="Aptos" w:hAnsi="Aptos" w:cs="Calibri"/>
        </w:rPr>
      </w:pPr>
      <w:r w:rsidRPr="00D401FA">
        <w:rPr>
          <w:rFonts w:ascii="Aptos" w:hAnsi="Aptos" w:cs="Calibri"/>
        </w:rPr>
        <w:t>Par ailleurs, les responsables chargés du cadrage ou de l’examen des dossiers ne sont pas soumis à des exigences de certification : ils sont considérés comme disposant de connaissances suffisantes et pertinentes pour traiter les études d’évaluation environnementale et maîtriser les principales normes et guides officiels nationaux, ainsi que les standards et lignes directrices internationaux (voir encadré 9 ci-dessous).</w:t>
      </w:r>
    </w:p>
    <w:p w14:paraId="3DCECBA8" w14:textId="77777777" w:rsidR="002E563A" w:rsidRPr="00D401FA" w:rsidRDefault="002E563A" w:rsidP="00216CAF">
      <w:pPr>
        <w:jc w:val="both"/>
        <w:rPr>
          <w:rFonts w:ascii="Aptos" w:hAnsi="Aptos" w:cs="Calibri"/>
        </w:rPr>
      </w:pPr>
      <w:r w:rsidRPr="00D401FA">
        <w:rPr>
          <w:rFonts w:ascii="Aptos" w:hAnsi="Aptos" w:cs="Calibri"/>
        </w:rPr>
        <w:t>Le manque d’expertise dans certaines disciplines se manifeste également au niveau des bureaux d’études, dont les experts ne sont pas nécessairement certifiés. Les collectivités territoriales manquent de personnel technique capable de mettre en œuvre efficacement des dispositifs de contrôle et de suivi environnemental et social, sans compter les contraintes financières et matérielles auxquelles elles sont confrontées.</w:t>
      </w:r>
    </w:p>
    <w:p w14:paraId="0AA9D54D" w14:textId="77777777" w:rsidR="00D01A50" w:rsidRDefault="00D01A50">
      <w:pPr>
        <w:rPr>
          <w:rFonts w:ascii="Aptos" w:hAnsi="Aptos" w:cs="Calibri"/>
          <w:b/>
          <w:bCs/>
        </w:rPr>
      </w:pPr>
      <w:r>
        <w:rPr>
          <w:rFonts w:ascii="Aptos" w:hAnsi="Aptos" w:cs="Calibri"/>
          <w:b/>
          <w:bCs/>
        </w:rPr>
        <w:br w:type="page"/>
      </w:r>
    </w:p>
    <w:p w14:paraId="7C0FC085" w14:textId="27DDFFC4" w:rsidR="007326CC" w:rsidRPr="00D401FA" w:rsidRDefault="007326CC" w:rsidP="00216CAF">
      <w:pPr>
        <w:jc w:val="both"/>
        <w:rPr>
          <w:rFonts w:ascii="Aptos" w:hAnsi="Aptos" w:cs="Calibri"/>
          <w:b/>
          <w:bCs/>
        </w:rPr>
      </w:pPr>
      <w:r w:rsidRPr="00D401FA">
        <w:rPr>
          <w:rFonts w:ascii="Aptos" w:hAnsi="Aptos" w:cs="Calibri"/>
          <w:b/>
          <w:bCs/>
        </w:rPr>
        <w:t>Encadré 9 : Certification des spécialistes E&amp;S</w:t>
      </w:r>
    </w:p>
    <w:tbl>
      <w:tblPr>
        <w:tblStyle w:val="TableGrid"/>
        <w:tblW w:w="0" w:type="auto"/>
        <w:tblLook w:val="04A0" w:firstRow="1" w:lastRow="0" w:firstColumn="1" w:lastColumn="0" w:noHBand="0" w:noVBand="1"/>
      </w:tblPr>
      <w:tblGrid>
        <w:gridCol w:w="9062"/>
      </w:tblGrid>
      <w:tr w:rsidR="00D01A50" w14:paraId="7487893F" w14:textId="77777777" w:rsidTr="00F34F90">
        <w:tc>
          <w:tcPr>
            <w:tcW w:w="9062" w:type="dxa"/>
            <w:shd w:val="clear" w:color="auto" w:fill="EDEDED" w:themeFill="accent3" w:themeFillTint="33"/>
          </w:tcPr>
          <w:p w14:paraId="79F9B481" w14:textId="77777777" w:rsidR="00D01A50" w:rsidRPr="002D71EF" w:rsidRDefault="00D01A50" w:rsidP="002D71EF">
            <w:pPr>
              <w:spacing w:after="160"/>
              <w:jc w:val="both"/>
              <w:rPr>
                <w:rFonts w:ascii="Aptos" w:hAnsi="Aptos" w:cs="Calibri"/>
                <w:sz w:val="20"/>
                <w:szCs w:val="20"/>
              </w:rPr>
            </w:pPr>
            <w:r w:rsidRPr="002D71EF">
              <w:rPr>
                <w:rFonts w:ascii="Aptos" w:hAnsi="Aptos" w:cs="Calibri"/>
                <w:sz w:val="20"/>
                <w:szCs w:val="20"/>
              </w:rPr>
              <w:t>L’accréditation ou la certification d’un spécialiste des sauvegardes environnementales et sociales (E&amp;S) a pour finalité de garantir que les professionnels disposent des compétences nécessaires pour gérer les risques environnementaux et sociaux dans le cadre de leurs activités. La certification permet de garantir que la gestion des projets suit une approche responsable et éthique et que l’environnement et les droits des communautés concernées sont protégés. Selon les normes internationales, les principaux aspects de la certification sont les suivants :</w:t>
            </w:r>
          </w:p>
          <w:p w14:paraId="09C7E6BD" w14:textId="77777777" w:rsidR="00D01A50" w:rsidRPr="002D71EF" w:rsidRDefault="00D01A50" w:rsidP="008B048C">
            <w:pPr>
              <w:pStyle w:val="ListParagraph"/>
              <w:numPr>
                <w:ilvl w:val="0"/>
                <w:numId w:val="34"/>
              </w:numPr>
              <w:jc w:val="both"/>
              <w:rPr>
                <w:rFonts w:ascii="Aptos" w:hAnsi="Aptos" w:cs="Calibri"/>
                <w:sz w:val="20"/>
                <w:szCs w:val="20"/>
              </w:rPr>
            </w:pPr>
            <w:r w:rsidRPr="002D71EF">
              <w:rPr>
                <w:rFonts w:ascii="Aptos" w:hAnsi="Aptos" w:cs="Calibri"/>
                <w:i/>
                <w:iCs/>
                <w:sz w:val="20"/>
                <w:szCs w:val="20"/>
              </w:rPr>
              <w:t>Plan de sauvegarde</w:t>
            </w:r>
            <w:r w:rsidRPr="002D71EF">
              <w:rPr>
                <w:rFonts w:ascii="Aptos" w:hAnsi="Aptos" w:cs="Calibri"/>
                <w:sz w:val="20"/>
                <w:szCs w:val="20"/>
              </w:rPr>
              <w:t xml:space="preserve"> : le spécialiste doit comprendre et mettre en œuvre un plan de sauvegarde permettant de gérer les risques environnementaux et sociaux associés aux projets ou aux activités. Ce plan vise à améliorer les résultats obtenus tout en contribuant au bien-être social des communautés locales.</w:t>
            </w:r>
          </w:p>
          <w:p w14:paraId="3C77294D" w14:textId="77777777" w:rsidR="00D01A50" w:rsidRPr="002D71EF" w:rsidRDefault="00D01A50" w:rsidP="008B048C">
            <w:pPr>
              <w:pStyle w:val="ListParagraph"/>
              <w:numPr>
                <w:ilvl w:val="0"/>
                <w:numId w:val="34"/>
              </w:numPr>
              <w:jc w:val="both"/>
              <w:rPr>
                <w:rFonts w:ascii="Aptos" w:hAnsi="Aptos" w:cs="Calibri"/>
                <w:sz w:val="20"/>
                <w:szCs w:val="20"/>
              </w:rPr>
            </w:pPr>
            <w:r w:rsidRPr="002D71EF">
              <w:rPr>
                <w:rFonts w:ascii="Aptos" w:hAnsi="Aptos" w:cs="Calibri"/>
                <w:i/>
                <w:iCs/>
                <w:sz w:val="20"/>
                <w:szCs w:val="20"/>
              </w:rPr>
              <w:t>Normes et procédures :</w:t>
            </w:r>
            <w:r w:rsidRPr="002D71EF">
              <w:rPr>
                <w:rFonts w:ascii="Aptos" w:hAnsi="Aptos" w:cs="Calibri"/>
                <w:sz w:val="20"/>
                <w:szCs w:val="20"/>
              </w:rPr>
              <w:t xml:space="preserve"> la certification implique la connaissance et l’application des normes de sauvegarde qui, pour un aspect donné de l’appui en matière E&amp;S, garantissent une approche cohérente dans l’ensemble du réseau professionnel.</w:t>
            </w:r>
          </w:p>
          <w:p w14:paraId="02C63A70" w14:textId="77777777" w:rsidR="00D01A50" w:rsidRPr="002D71EF" w:rsidRDefault="00D01A50" w:rsidP="008B048C">
            <w:pPr>
              <w:pStyle w:val="ListParagraph"/>
              <w:numPr>
                <w:ilvl w:val="0"/>
                <w:numId w:val="34"/>
              </w:numPr>
              <w:jc w:val="both"/>
              <w:rPr>
                <w:rFonts w:ascii="Aptos" w:hAnsi="Aptos" w:cs="Calibri"/>
                <w:sz w:val="20"/>
                <w:szCs w:val="20"/>
              </w:rPr>
            </w:pPr>
            <w:r w:rsidRPr="002D71EF">
              <w:rPr>
                <w:rFonts w:ascii="Aptos" w:hAnsi="Aptos" w:cs="Calibri"/>
                <w:i/>
                <w:iCs/>
                <w:sz w:val="20"/>
                <w:szCs w:val="20"/>
              </w:rPr>
              <w:t>Mécanisme de traitement des plaintes</w:t>
            </w:r>
            <w:r w:rsidRPr="002D71EF">
              <w:rPr>
                <w:rFonts w:ascii="Aptos" w:hAnsi="Aptos" w:cs="Calibri"/>
                <w:sz w:val="20"/>
                <w:szCs w:val="20"/>
              </w:rPr>
              <w:t xml:space="preserve"> : le spécialiste doit maîtriser un mécanisme de traitement des plaintes à plusieurs niveaux. Ce mécanisme renforce les dispositifs existants de traitement et de résolution des plaintes liées aux sauvegardes.</w:t>
            </w:r>
          </w:p>
          <w:p w14:paraId="7B8EB1DF" w14:textId="1EDAF323" w:rsidR="00D01A50" w:rsidRPr="002D71EF" w:rsidRDefault="00D01A50" w:rsidP="008B048C">
            <w:pPr>
              <w:pStyle w:val="ListParagraph"/>
              <w:numPr>
                <w:ilvl w:val="0"/>
                <w:numId w:val="34"/>
              </w:numPr>
              <w:jc w:val="both"/>
              <w:rPr>
                <w:rFonts w:ascii="Aptos" w:hAnsi="Aptos" w:cs="Calibri"/>
                <w:sz w:val="20"/>
                <w:szCs w:val="20"/>
              </w:rPr>
            </w:pPr>
            <w:r w:rsidRPr="002D71EF">
              <w:rPr>
                <w:rFonts w:ascii="Aptos" w:hAnsi="Aptos" w:cs="Calibri"/>
                <w:i/>
                <w:iCs/>
                <w:sz w:val="20"/>
                <w:szCs w:val="20"/>
              </w:rPr>
              <w:t>Protection des droits humains</w:t>
            </w:r>
            <w:r w:rsidRPr="002D71EF">
              <w:rPr>
                <w:rFonts w:ascii="Aptos" w:hAnsi="Aptos" w:cs="Calibri"/>
                <w:sz w:val="20"/>
                <w:szCs w:val="20"/>
              </w:rPr>
              <w:t xml:space="preserve"> : la certification inclut également un protocole de réponse permettant de faire remonter toute plainte relative aux droits humains.</w:t>
            </w:r>
          </w:p>
          <w:p w14:paraId="6EF628C9" w14:textId="77777777" w:rsidR="00D01A50" w:rsidRPr="00D01A50" w:rsidRDefault="00D01A50" w:rsidP="00216CAF">
            <w:pPr>
              <w:jc w:val="both"/>
              <w:rPr>
                <w:rFonts w:ascii="Aptos" w:hAnsi="Aptos" w:cs="Calibri"/>
              </w:rPr>
            </w:pPr>
          </w:p>
        </w:tc>
      </w:tr>
    </w:tbl>
    <w:p w14:paraId="66DDA977" w14:textId="77777777" w:rsidR="00D01A50" w:rsidRDefault="00D01A50" w:rsidP="00216CAF">
      <w:pPr>
        <w:jc w:val="both"/>
        <w:rPr>
          <w:rFonts w:ascii="Aptos" w:hAnsi="Aptos" w:cs="Calibri"/>
          <w:b/>
          <w:bCs/>
        </w:rPr>
      </w:pPr>
    </w:p>
    <w:p w14:paraId="322CF038" w14:textId="2EBFD8C0" w:rsidR="007326CC" w:rsidRPr="00D01A50" w:rsidRDefault="007326CC" w:rsidP="00216CAF">
      <w:pPr>
        <w:jc w:val="both"/>
        <w:rPr>
          <w:rFonts w:ascii="Aptos" w:hAnsi="Aptos" w:cs="Calibri"/>
        </w:rPr>
      </w:pPr>
      <w:r w:rsidRPr="00D01A50">
        <w:rPr>
          <w:rFonts w:ascii="Aptos" w:hAnsi="Aptos" w:cs="Calibri"/>
        </w:rPr>
        <w:t xml:space="preserve">Comme le montrent des évaluations récentes en ce qui concerne les connaissances </w:t>
      </w:r>
      <w:r w:rsidR="002D71EF">
        <w:rPr>
          <w:rFonts w:ascii="Aptos" w:hAnsi="Aptos" w:cs="Calibri"/>
        </w:rPr>
        <w:t>requises</w:t>
      </w:r>
      <w:r w:rsidRPr="00D01A50">
        <w:rPr>
          <w:rFonts w:ascii="Aptos" w:hAnsi="Aptos" w:cs="Calibri"/>
        </w:rPr>
        <w:t>, de nombreuses problématiques environnementales restent mal connues (malgré l’existence d’études systémiques et écologiques) et certains domaines peuvent nécessiter des recherches scientifiques appropriées. Peu d’évaluations environnementales prennent en compte les impacts des projets sur le changement climatique.</w:t>
      </w:r>
    </w:p>
    <w:p w14:paraId="01087109" w14:textId="77777777" w:rsidR="007326CC" w:rsidRDefault="007326CC" w:rsidP="00216CAF">
      <w:pPr>
        <w:jc w:val="both"/>
        <w:rPr>
          <w:rFonts w:ascii="Aptos" w:hAnsi="Aptos" w:cs="Calibri"/>
        </w:rPr>
      </w:pPr>
      <w:r w:rsidRPr="00D01A50">
        <w:rPr>
          <w:rFonts w:ascii="Aptos" w:hAnsi="Aptos" w:cs="Calibri"/>
        </w:rPr>
        <w:t>La Mauritanie dispose de centres de recherche et de départements universitaires intervenant dans des domaines plus ou moins directement liés à l’environnement et aux enjeux du changement climatique en général, et aux problématiques de gestion E&amp;S en particulier. Cependant, alors qu’elles ne sont que faiblement impliquées dans la programmation et le suivi des projets de développement, ces structures pourraient jouer un rôle plus important dans l’éclairage des décisions publiques, l’élaboration de réglementations plus efficaces et l’identification de bonnes pratiques en matière de gestion environnementale et sociale. Par ailleurs, la vulnérabilité est une thématique qui mériterait d’être davantage explorée et intégrée dans les dispositifs de gestion E&amp;S (voir encadré 10 ci-dessous).</w:t>
      </w:r>
    </w:p>
    <w:p w14:paraId="6F1A31CE" w14:textId="77777777" w:rsidR="00D01A50" w:rsidRDefault="00D01A50">
      <w:pPr>
        <w:rPr>
          <w:rFonts w:ascii="Aptos" w:hAnsi="Aptos" w:cs="Calibri"/>
          <w:b/>
          <w:bCs/>
        </w:rPr>
      </w:pPr>
      <w:r>
        <w:rPr>
          <w:rFonts w:ascii="Aptos" w:hAnsi="Aptos" w:cs="Calibri"/>
          <w:b/>
          <w:bCs/>
        </w:rPr>
        <w:br w:type="page"/>
      </w:r>
    </w:p>
    <w:p w14:paraId="6A4C3794" w14:textId="08FD0E4C" w:rsidR="00D01A50" w:rsidRPr="00D401FA" w:rsidRDefault="00D01A50" w:rsidP="00D01A50">
      <w:pPr>
        <w:jc w:val="both"/>
        <w:rPr>
          <w:rFonts w:ascii="Aptos" w:hAnsi="Aptos" w:cs="Calibri"/>
          <w:b/>
          <w:bCs/>
        </w:rPr>
      </w:pPr>
      <w:r w:rsidRPr="00D401FA">
        <w:rPr>
          <w:rFonts w:ascii="Aptos" w:hAnsi="Aptos" w:cs="Calibri"/>
          <w:b/>
          <w:bCs/>
        </w:rPr>
        <w:t>Encadré 10 : Le concept de « vulnérabilité »</w:t>
      </w:r>
    </w:p>
    <w:tbl>
      <w:tblPr>
        <w:tblStyle w:val="TableGrid"/>
        <w:tblW w:w="0" w:type="auto"/>
        <w:tblLook w:val="04A0" w:firstRow="1" w:lastRow="0" w:firstColumn="1" w:lastColumn="0" w:noHBand="0" w:noVBand="1"/>
      </w:tblPr>
      <w:tblGrid>
        <w:gridCol w:w="9062"/>
      </w:tblGrid>
      <w:tr w:rsidR="007326CC" w:rsidRPr="00D401FA" w14:paraId="286D7129" w14:textId="77777777" w:rsidTr="00F34F90">
        <w:tc>
          <w:tcPr>
            <w:tcW w:w="9062" w:type="dxa"/>
            <w:shd w:val="clear" w:color="auto" w:fill="EDEDED" w:themeFill="accent3" w:themeFillTint="33"/>
          </w:tcPr>
          <w:p w14:paraId="521C9AC9" w14:textId="64CD4013" w:rsidR="007326CC" w:rsidRPr="002D71EF" w:rsidRDefault="007326CC" w:rsidP="00216CAF">
            <w:pPr>
              <w:spacing w:after="160" w:line="259" w:lineRule="auto"/>
              <w:jc w:val="both"/>
              <w:rPr>
                <w:rFonts w:ascii="Aptos" w:hAnsi="Aptos" w:cs="Calibri"/>
                <w:sz w:val="20"/>
                <w:szCs w:val="20"/>
              </w:rPr>
            </w:pPr>
            <w:r w:rsidRPr="002D71EF">
              <w:rPr>
                <w:rFonts w:ascii="Aptos" w:hAnsi="Aptos" w:cs="Calibri"/>
                <w:sz w:val="20"/>
                <w:szCs w:val="20"/>
              </w:rPr>
              <w:t>Conformément aux orientations du Cadre environnemental et social (CES) de la Banque</w:t>
            </w:r>
            <w:r w:rsidR="002D71EF">
              <w:rPr>
                <w:rFonts w:ascii="Aptos" w:hAnsi="Aptos" w:cs="Calibri"/>
                <w:sz w:val="20"/>
                <w:szCs w:val="20"/>
              </w:rPr>
              <w:t xml:space="preserve"> mondiale</w:t>
            </w:r>
            <w:r w:rsidRPr="002D71EF">
              <w:rPr>
                <w:rFonts w:ascii="Aptos" w:hAnsi="Aptos" w:cs="Calibri"/>
                <w:sz w:val="20"/>
                <w:szCs w:val="20"/>
              </w:rPr>
              <w:t>, le concept de « vulnérabilité » devrait être approfondi à travers des enquêtes et des études menées au niveau des individus, des ménages ou des communautés, des travailleurs, des femmes et des enfants, selon une approche multidisciplinaire combinant des perspectives économiques (pauvreté monétaire, précarité des moyens de subsistance durables, insécurité alimentaire), anthropologiques (marginalisation ou exclusion), écologiques (impact du changement climatique et des catastrophes naturelles sur les systèmes de gestion environnementale) et sanitaires (impact des épidémies et des maladies zoonotiques sur les populations).</w:t>
            </w:r>
          </w:p>
          <w:p w14:paraId="2E6B004A" w14:textId="77777777" w:rsidR="007326CC" w:rsidRPr="002D71EF" w:rsidRDefault="007326CC" w:rsidP="00216CAF">
            <w:pPr>
              <w:spacing w:after="160" w:line="259" w:lineRule="auto"/>
              <w:jc w:val="both"/>
              <w:rPr>
                <w:rFonts w:ascii="Aptos" w:hAnsi="Aptos" w:cs="Calibri"/>
                <w:sz w:val="20"/>
                <w:szCs w:val="20"/>
              </w:rPr>
            </w:pPr>
            <w:r w:rsidRPr="002D71EF">
              <w:rPr>
                <w:rFonts w:ascii="Aptos" w:hAnsi="Aptos" w:cs="Calibri"/>
                <w:sz w:val="20"/>
                <w:szCs w:val="20"/>
              </w:rPr>
              <w:t>Alors que le pays se trouve actuellement confronté à des défis majeurs en matière de valorisation de son capital humain, comme le souligne une étude récente de la Banque mondiale (*), en raison notamment d’un faible taux d’emploi, de la mauvaise qualité des emplois et du faible niveau d’éducation, ces analyses permettraient de distinguer les formes de vulnérabilité liées à la pauvreté (manque d’actifs ou de capital humain) de celles liées aux risques (effets cumulés des chocs économiques et des facteurs climatiques et environnementaux).</w:t>
            </w:r>
          </w:p>
          <w:p w14:paraId="59F6E69B" w14:textId="16DB767F" w:rsidR="007326CC" w:rsidRPr="002D71EF" w:rsidRDefault="007326CC" w:rsidP="00216CAF">
            <w:pPr>
              <w:spacing w:after="160" w:line="259" w:lineRule="auto"/>
              <w:jc w:val="both"/>
              <w:rPr>
                <w:rFonts w:ascii="Aptos" w:hAnsi="Aptos" w:cs="Calibri"/>
                <w:sz w:val="20"/>
                <w:szCs w:val="20"/>
              </w:rPr>
            </w:pPr>
            <w:r w:rsidRPr="002D71EF">
              <w:rPr>
                <w:rFonts w:ascii="Aptos" w:hAnsi="Aptos" w:cs="Calibri"/>
                <w:sz w:val="20"/>
                <w:szCs w:val="20"/>
              </w:rPr>
              <w:t xml:space="preserve">D’un point de vue opérationnel, ces analyses conduiraient à élaborer ou à mettre à jour des politiques et stratégies économiques et sociales (activités génératrices de revenus, transferts monétaires, etc.), ainsi que des politiques visant à renforcer la résilience face aux chocs. Cette réflexion holistique </w:t>
            </w:r>
            <w:r w:rsidR="002D71EF">
              <w:rPr>
                <w:rFonts w:ascii="Aptos" w:hAnsi="Aptos" w:cs="Calibri"/>
                <w:sz w:val="20"/>
                <w:szCs w:val="20"/>
              </w:rPr>
              <w:t xml:space="preserve">peut </w:t>
            </w:r>
            <w:r w:rsidRPr="002D71EF">
              <w:rPr>
                <w:rFonts w:ascii="Aptos" w:hAnsi="Aptos" w:cs="Calibri"/>
                <w:sz w:val="20"/>
                <w:szCs w:val="20"/>
              </w:rPr>
              <w:t>constitue</w:t>
            </w:r>
            <w:r w:rsidR="002D71EF">
              <w:rPr>
                <w:rFonts w:ascii="Aptos" w:hAnsi="Aptos" w:cs="Calibri"/>
                <w:sz w:val="20"/>
                <w:szCs w:val="20"/>
              </w:rPr>
              <w:t>r</w:t>
            </w:r>
            <w:r w:rsidRPr="002D71EF">
              <w:rPr>
                <w:rFonts w:ascii="Aptos" w:hAnsi="Aptos" w:cs="Calibri"/>
                <w:sz w:val="20"/>
                <w:szCs w:val="20"/>
              </w:rPr>
              <w:t xml:space="preserve"> un apport important dans la définition de modèles d’évaluation des risques environnementaux et sociaux de manière plus intégrée et plus complète.</w:t>
            </w:r>
          </w:p>
          <w:p w14:paraId="3E464262" w14:textId="58554BE3" w:rsidR="007326CC" w:rsidRPr="00D01A50" w:rsidRDefault="007326CC" w:rsidP="00216CAF">
            <w:pPr>
              <w:spacing w:after="160" w:line="259" w:lineRule="auto"/>
              <w:jc w:val="both"/>
              <w:rPr>
                <w:rFonts w:ascii="Aptos" w:hAnsi="Aptos" w:cs="Calibri"/>
                <w:i/>
                <w:iCs/>
              </w:rPr>
            </w:pPr>
            <w:r w:rsidRPr="002D71EF">
              <w:rPr>
                <w:rFonts w:ascii="Aptos" w:hAnsi="Aptos" w:cs="Calibri"/>
                <w:i/>
                <w:iCs/>
                <w:sz w:val="20"/>
                <w:szCs w:val="20"/>
              </w:rPr>
              <w:t>(*) Banque mondiale (2024)</w:t>
            </w:r>
          </w:p>
        </w:tc>
      </w:tr>
    </w:tbl>
    <w:p w14:paraId="1BFEDF1A" w14:textId="77777777" w:rsidR="007326CC" w:rsidRPr="00D401FA" w:rsidRDefault="007326CC" w:rsidP="00216CAF">
      <w:pPr>
        <w:jc w:val="both"/>
        <w:rPr>
          <w:rFonts w:ascii="Aptos" w:hAnsi="Aptos" w:cs="Calibri"/>
        </w:rPr>
      </w:pPr>
    </w:p>
    <w:p w14:paraId="52C2BDD7" w14:textId="1CE1C2E7" w:rsidR="007326CC" w:rsidRPr="00D401FA" w:rsidRDefault="007326CC" w:rsidP="00216CAF">
      <w:pPr>
        <w:jc w:val="both"/>
        <w:rPr>
          <w:rFonts w:ascii="Aptos" w:hAnsi="Aptos" w:cs="Calibri"/>
        </w:rPr>
      </w:pPr>
      <w:r w:rsidRPr="00D401FA">
        <w:rPr>
          <w:rFonts w:ascii="Aptos" w:hAnsi="Aptos" w:cs="Calibri"/>
        </w:rPr>
        <w:t>L’un des principaux défis réside toutefois dans le financement de cette recherche scientifique, dans le cadre de partenariats solides entre différents acteurs publics et privés capables de mobiliser des ressources pour surmonter les contraintes non seulement financières, mais également liées à la coordination, aux politiques, aux technologies et à l’information.</w:t>
      </w:r>
    </w:p>
    <w:p w14:paraId="6E39A8A6" w14:textId="52B01794" w:rsidR="00AE5EDA" w:rsidRPr="00D401FA" w:rsidRDefault="00AE5EDA" w:rsidP="00D01A50">
      <w:pPr>
        <w:pStyle w:val="Heading2"/>
      </w:pPr>
      <w:bookmarkStart w:id="111" w:name="_Toc227686291"/>
      <w:bookmarkStart w:id="112" w:name="_Toc227686335"/>
      <w:bookmarkStart w:id="113" w:name="_Toc227686381"/>
      <w:r w:rsidRPr="00D401FA">
        <w:t>Mécanisme de traitement des plaintes</w:t>
      </w:r>
      <w:bookmarkEnd w:id="111"/>
      <w:bookmarkEnd w:id="112"/>
      <w:bookmarkEnd w:id="113"/>
    </w:p>
    <w:p w14:paraId="3507E716" w14:textId="7FC16C66" w:rsidR="00AE5EDA" w:rsidRPr="00D401FA" w:rsidRDefault="00AE5EDA" w:rsidP="00216CAF">
      <w:pPr>
        <w:jc w:val="both"/>
        <w:rPr>
          <w:rFonts w:ascii="Aptos" w:hAnsi="Aptos" w:cs="Calibri"/>
        </w:rPr>
      </w:pPr>
      <w:r w:rsidRPr="00D401FA">
        <w:rPr>
          <w:rFonts w:ascii="Aptos" w:hAnsi="Aptos" w:cs="Calibri"/>
        </w:rPr>
        <w:t>Afin de répondre rapidement aux préoccupations et aux plaintes des parties affectées par le projet concernant sa performance E&amp;S, le cadre normatif de la Banque mondiale exige de concevoir et de mettre en place un mécanisme de traitement des plaintes (GR</w:t>
      </w:r>
      <w:r w:rsidR="002D71EF">
        <w:rPr>
          <w:rFonts w:ascii="Aptos" w:hAnsi="Aptos" w:cs="Calibri"/>
        </w:rPr>
        <w:t>M</w:t>
      </w:r>
      <w:r w:rsidRPr="00D401FA">
        <w:rPr>
          <w:rFonts w:ascii="Aptos" w:hAnsi="Aptos" w:cs="Calibri"/>
        </w:rPr>
        <w:t>) destiné à recueillir les préoccupations et recevoir les plaintes et en faciliter le règlement. Le GR</w:t>
      </w:r>
      <w:r w:rsidR="002D71EF">
        <w:rPr>
          <w:rFonts w:ascii="Aptos" w:hAnsi="Aptos" w:cs="Calibri"/>
        </w:rPr>
        <w:t>M</w:t>
      </w:r>
      <w:r w:rsidRPr="00D401FA">
        <w:rPr>
          <w:rFonts w:ascii="Aptos" w:hAnsi="Aptos" w:cs="Calibri"/>
        </w:rPr>
        <w:t xml:space="preserve"> peut couvrir les aspects généraux d’un projet, notamment les questions liées à l’acquisition de terres et à la réinstallation forcée (le mécanisme applicable aux travailleurs du projet étant quelque peu différent).</w:t>
      </w:r>
    </w:p>
    <w:p w14:paraId="0B38F75C" w14:textId="6CB6FA28" w:rsidR="00AE5EDA" w:rsidRPr="00D401FA" w:rsidRDefault="00AE5EDA" w:rsidP="00216CAF">
      <w:pPr>
        <w:jc w:val="both"/>
        <w:rPr>
          <w:rFonts w:ascii="Aptos" w:hAnsi="Aptos" w:cs="Calibri"/>
        </w:rPr>
      </w:pPr>
      <w:r w:rsidRPr="00D401FA">
        <w:rPr>
          <w:rFonts w:ascii="Aptos" w:hAnsi="Aptos" w:cs="Calibri"/>
        </w:rPr>
        <w:t>Le GR</w:t>
      </w:r>
      <w:r w:rsidR="002D71EF">
        <w:rPr>
          <w:rFonts w:ascii="Aptos" w:hAnsi="Aptos" w:cs="Calibri"/>
        </w:rPr>
        <w:t>M</w:t>
      </w:r>
      <w:r w:rsidRPr="00D401FA">
        <w:rPr>
          <w:rFonts w:ascii="Aptos" w:hAnsi="Aptos" w:cs="Calibri"/>
        </w:rPr>
        <w:t>, dont la conception est à la hauteur des risques et impacts potentiels du projet, doit permettre de traiter les préoccupations dans les meilleurs délais, de manière efficace, transparente, culturellement appropriée et</w:t>
      </w:r>
      <w:r w:rsidR="00A177D2">
        <w:rPr>
          <w:rFonts w:ascii="Aptos" w:hAnsi="Aptos" w:cs="Calibri"/>
        </w:rPr>
        <w:t xml:space="preserve"> doit être</w:t>
      </w:r>
      <w:r w:rsidRPr="00D401FA">
        <w:rPr>
          <w:rFonts w:ascii="Aptos" w:hAnsi="Aptos" w:cs="Calibri"/>
        </w:rPr>
        <w:t xml:space="preserve"> facilement accessible à toutes les parties affectées par le projet, sans frais ni représailles. Le mécanisme doit également permettre de déposer les plaintes et d’en assurer le traitement dans le respect de l’anonymat. Plus précisément, les objectifs poursuivis par le GR</w:t>
      </w:r>
      <w:r w:rsidR="00A177D2">
        <w:rPr>
          <w:rFonts w:ascii="Aptos" w:hAnsi="Aptos" w:cs="Calibri"/>
        </w:rPr>
        <w:t>M</w:t>
      </w:r>
      <w:r w:rsidRPr="00D401FA">
        <w:rPr>
          <w:rFonts w:ascii="Aptos" w:hAnsi="Aptos" w:cs="Calibri"/>
        </w:rPr>
        <w:t xml:space="preserve"> sont les suivants :</w:t>
      </w:r>
    </w:p>
    <w:p w14:paraId="554B257F" w14:textId="0F3BE112" w:rsidR="00D01A50" w:rsidRDefault="00AE5EDA" w:rsidP="008B048C">
      <w:pPr>
        <w:pStyle w:val="ListParagraph"/>
        <w:numPr>
          <w:ilvl w:val="1"/>
          <w:numId w:val="35"/>
        </w:numPr>
        <w:jc w:val="both"/>
        <w:rPr>
          <w:rFonts w:ascii="Aptos" w:hAnsi="Aptos" w:cs="Calibri"/>
        </w:rPr>
      </w:pPr>
      <w:r w:rsidRPr="00D01A50">
        <w:rPr>
          <w:rFonts w:ascii="Aptos" w:hAnsi="Aptos" w:cs="Calibri"/>
        </w:rPr>
        <w:t>Mettre en place un système de réception, d’enregistrement et de traitement des plaintes et préoccupations dans des délais appropriés, en accordant une attention particulière aux groupes vulnérables</w:t>
      </w:r>
      <w:r w:rsidR="00A177D2">
        <w:rPr>
          <w:rFonts w:ascii="Aptos" w:hAnsi="Aptos" w:cs="Calibri"/>
        </w:rPr>
        <w:t>.</w:t>
      </w:r>
    </w:p>
    <w:p w14:paraId="37DB41D4" w14:textId="77777777" w:rsidR="00D01A50" w:rsidRDefault="00AE5EDA" w:rsidP="008B048C">
      <w:pPr>
        <w:pStyle w:val="ListParagraph"/>
        <w:numPr>
          <w:ilvl w:val="1"/>
          <w:numId w:val="35"/>
        </w:numPr>
        <w:jc w:val="both"/>
        <w:rPr>
          <w:rFonts w:ascii="Aptos" w:hAnsi="Aptos" w:cs="Calibri"/>
        </w:rPr>
      </w:pPr>
      <w:r w:rsidRPr="00D01A50">
        <w:rPr>
          <w:rFonts w:ascii="Aptos" w:hAnsi="Aptos" w:cs="Calibri"/>
        </w:rPr>
        <w:t>Fournir un dispositif efficace, transparent, rapide, équitable et non discriminatoire permettant aux personnes lésées de déposer une plainte et d’éviter le recours aux procédures judiciaires.</w:t>
      </w:r>
    </w:p>
    <w:p w14:paraId="1AA7BB90" w14:textId="58131558" w:rsidR="00D01A50" w:rsidRDefault="00AE5EDA" w:rsidP="008B048C">
      <w:pPr>
        <w:pStyle w:val="ListParagraph"/>
        <w:numPr>
          <w:ilvl w:val="1"/>
          <w:numId w:val="35"/>
        </w:numPr>
        <w:jc w:val="both"/>
        <w:rPr>
          <w:rFonts w:ascii="Aptos" w:hAnsi="Aptos" w:cs="Calibri"/>
        </w:rPr>
      </w:pPr>
      <w:r w:rsidRPr="00D01A50">
        <w:rPr>
          <w:rFonts w:ascii="Aptos" w:hAnsi="Aptos" w:cs="Calibri"/>
        </w:rPr>
        <w:t xml:space="preserve">Promouvoir le règlement </w:t>
      </w:r>
      <w:r w:rsidR="00A177D2">
        <w:rPr>
          <w:rFonts w:ascii="Aptos" w:hAnsi="Aptos" w:cs="Calibri"/>
        </w:rPr>
        <w:t>à l’</w:t>
      </w:r>
      <w:r w:rsidRPr="00D01A50">
        <w:rPr>
          <w:rFonts w:ascii="Aptos" w:hAnsi="Aptos" w:cs="Calibri"/>
        </w:rPr>
        <w:t>amiable des plaintes et limiter autant que possible le recours aux tribunaux.</w:t>
      </w:r>
    </w:p>
    <w:p w14:paraId="286C99A3" w14:textId="77777777" w:rsidR="00D01A50" w:rsidRDefault="00AE5EDA" w:rsidP="008B048C">
      <w:pPr>
        <w:pStyle w:val="ListParagraph"/>
        <w:numPr>
          <w:ilvl w:val="1"/>
          <w:numId w:val="35"/>
        </w:numPr>
        <w:jc w:val="both"/>
        <w:rPr>
          <w:rFonts w:ascii="Aptos" w:hAnsi="Aptos" w:cs="Calibri"/>
        </w:rPr>
      </w:pPr>
      <w:r w:rsidRPr="00D01A50">
        <w:rPr>
          <w:rFonts w:ascii="Aptos" w:hAnsi="Aptos" w:cs="Calibri"/>
        </w:rPr>
        <w:t>Réduire les risques de mauvaise publicité et éviter ou limiter les retards dans la mise en œuvre du projet.</w:t>
      </w:r>
    </w:p>
    <w:p w14:paraId="5957BC12" w14:textId="594C641F" w:rsidR="00D01A50" w:rsidRDefault="00AE5EDA" w:rsidP="008B048C">
      <w:pPr>
        <w:pStyle w:val="ListParagraph"/>
        <w:numPr>
          <w:ilvl w:val="1"/>
          <w:numId w:val="35"/>
        </w:numPr>
        <w:jc w:val="both"/>
        <w:rPr>
          <w:rFonts w:ascii="Aptos" w:hAnsi="Aptos" w:cs="Calibri"/>
        </w:rPr>
      </w:pPr>
      <w:r w:rsidRPr="00D01A50">
        <w:rPr>
          <w:rFonts w:ascii="Aptos" w:hAnsi="Aptos" w:cs="Calibri"/>
        </w:rPr>
        <w:t>Assurer la</w:t>
      </w:r>
      <w:r w:rsidR="00A177D2">
        <w:rPr>
          <w:rFonts w:ascii="Aptos" w:hAnsi="Aptos" w:cs="Calibri"/>
        </w:rPr>
        <w:t xml:space="preserve"> pérenn</w:t>
      </w:r>
      <w:r w:rsidRPr="00D01A50">
        <w:rPr>
          <w:rFonts w:ascii="Aptos" w:hAnsi="Aptos" w:cs="Calibri"/>
        </w:rPr>
        <w:t>ité des interventions du projet et leur appropriation par les parties prenantes.</w:t>
      </w:r>
    </w:p>
    <w:p w14:paraId="7AFDE6FF" w14:textId="77777777" w:rsidR="00D01A50" w:rsidRDefault="00D01A50" w:rsidP="008B048C">
      <w:pPr>
        <w:pStyle w:val="ListParagraph"/>
        <w:numPr>
          <w:ilvl w:val="1"/>
          <w:numId w:val="35"/>
        </w:numPr>
        <w:jc w:val="both"/>
        <w:rPr>
          <w:rFonts w:ascii="Aptos" w:hAnsi="Aptos" w:cs="Calibri"/>
        </w:rPr>
      </w:pPr>
      <w:r>
        <w:rPr>
          <w:rFonts w:ascii="Aptos" w:hAnsi="Aptos" w:cs="Calibri"/>
        </w:rPr>
        <w:t>F</w:t>
      </w:r>
      <w:r w:rsidR="00AE5EDA" w:rsidRPr="00D01A50">
        <w:rPr>
          <w:rFonts w:ascii="Aptos" w:hAnsi="Aptos" w:cs="Calibri"/>
        </w:rPr>
        <w:t>ournir des clarifications en réponse aux demandes d’information.</w:t>
      </w:r>
    </w:p>
    <w:p w14:paraId="3FDA3627" w14:textId="77777777" w:rsidR="00D01A50" w:rsidRDefault="00AE5EDA" w:rsidP="008B048C">
      <w:pPr>
        <w:pStyle w:val="ListParagraph"/>
        <w:numPr>
          <w:ilvl w:val="1"/>
          <w:numId w:val="35"/>
        </w:numPr>
        <w:jc w:val="both"/>
        <w:rPr>
          <w:rFonts w:ascii="Aptos" w:hAnsi="Aptos" w:cs="Calibri"/>
        </w:rPr>
      </w:pPr>
      <w:r w:rsidRPr="00D01A50">
        <w:rPr>
          <w:rFonts w:ascii="Aptos" w:hAnsi="Aptos" w:cs="Calibri"/>
        </w:rPr>
        <w:t>Être légitime : instaurer la confiance avec les parties prenantes et garantir l’équité des processus de traitement des plaintes.</w:t>
      </w:r>
    </w:p>
    <w:p w14:paraId="408335BE" w14:textId="60DC8221" w:rsidR="00D01A50" w:rsidRDefault="00AE5EDA" w:rsidP="008B048C">
      <w:pPr>
        <w:pStyle w:val="ListParagraph"/>
        <w:numPr>
          <w:ilvl w:val="1"/>
          <w:numId w:val="35"/>
        </w:numPr>
        <w:jc w:val="both"/>
        <w:rPr>
          <w:rFonts w:ascii="Aptos" w:hAnsi="Aptos" w:cs="Calibri"/>
        </w:rPr>
      </w:pPr>
      <w:r w:rsidRPr="00D01A50">
        <w:rPr>
          <w:rFonts w:ascii="Aptos" w:hAnsi="Aptos" w:cs="Calibri"/>
        </w:rPr>
        <w:t xml:space="preserve">Être accessible : être connu de toutes les parties affectées par le projet et offrir une assistance adéquate aux personnes pouvant rencontrer des obstacles </w:t>
      </w:r>
      <w:r w:rsidR="00A177D2">
        <w:rPr>
          <w:rFonts w:ascii="Aptos" w:hAnsi="Aptos" w:cs="Calibri"/>
        </w:rPr>
        <w:t xml:space="preserve">en matière </w:t>
      </w:r>
      <w:r w:rsidRPr="00D01A50">
        <w:rPr>
          <w:rFonts w:ascii="Aptos" w:hAnsi="Aptos" w:cs="Calibri"/>
        </w:rPr>
        <w:t>d’accès.</w:t>
      </w:r>
    </w:p>
    <w:p w14:paraId="44651642" w14:textId="77777777" w:rsidR="00D01A50" w:rsidRDefault="00AE5EDA" w:rsidP="008B048C">
      <w:pPr>
        <w:pStyle w:val="ListParagraph"/>
        <w:numPr>
          <w:ilvl w:val="1"/>
          <w:numId w:val="35"/>
        </w:numPr>
        <w:jc w:val="both"/>
        <w:rPr>
          <w:rFonts w:ascii="Aptos" w:hAnsi="Aptos" w:cs="Calibri"/>
        </w:rPr>
      </w:pPr>
      <w:r w:rsidRPr="00D01A50">
        <w:rPr>
          <w:rFonts w:ascii="Aptos" w:hAnsi="Aptos" w:cs="Calibri"/>
        </w:rPr>
        <w:t>Être prévisible : disposer d’une procédure claire et compréhensible, assortie de délais indicatifs pour chaque étape, et préciser les types de processus et issues possibles ainsi que les modalités de suivi de leur mise en œuvre.</w:t>
      </w:r>
    </w:p>
    <w:p w14:paraId="77C72DEF" w14:textId="77777777" w:rsidR="00D01A50" w:rsidRDefault="00AE5EDA" w:rsidP="008B048C">
      <w:pPr>
        <w:pStyle w:val="ListParagraph"/>
        <w:numPr>
          <w:ilvl w:val="1"/>
          <w:numId w:val="35"/>
        </w:numPr>
        <w:jc w:val="both"/>
        <w:rPr>
          <w:rFonts w:ascii="Aptos" w:hAnsi="Aptos" w:cs="Calibri"/>
        </w:rPr>
      </w:pPr>
      <w:r w:rsidRPr="00D01A50">
        <w:rPr>
          <w:rFonts w:ascii="Aptos" w:hAnsi="Aptos" w:cs="Calibri"/>
        </w:rPr>
        <w:t>Être équitable : garantir aux personnes lésées un accès raisonnable aux sources d’information, de conseils et d’expertise nécessaires pour participer au processus de traitement des plaintes de manière respectueuse, équitable et transparente.</w:t>
      </w:r>
    </w:p>
    <w:p w14:paraId="004E0AEC" w14:textId="77777777" w:rsidR="00D01A50" w:rsidRDefault="00AE5EDA" w:rsidP="008B048C">
      <w:pPr>
        <w:pStyle w:val="ListParagraph"/>
        <w:numPr>
          <w:ilvl w:val="1"/>
          <w:numId w:val="35"/>
        </w:numPr>
        <w:jc w:val="both"/>
        <w:rPr>
          <w:rFonts w:ascii="Aptos" w:hAnsi="Aptos" w:cs="Calibri"/>
        </w:rPr>
      </w:pPr>
      <w:r w:rsidRPr="00D01A50">
        <w:rPr>
          <w:rFonts w:ascii="Aptos" w:hAnsi="Aptos" w:cs="Calibri"/>
        </w:rPr>
        <w:t>Être transparent : tenir les parties informées de l’évolution des plaintes et fournir suffisamment d’informations sur le processus afin de renforcer la confiance dans l’efficacité du mécanisme et sa capacité à répondre à l’intérêt général.</w:t>
      </w:r>
    </w:p>
    <w:p w14:paraId="33EE20A6" w14:textId="77777777" w:rsidR="00D01A50" w:rsidRDefault="00AE5EDA" w:rsidP="008B048C">
      <w:pPr>
        <w:pStyle w:val="ListParagraph"/>
        <w:numPr>
          <w:ilvl w:val="1"/>
          <w:numId w:val="35"/>
        </w:numPr>
        <w:jc w:val="both"/>
        <w:rPr>
          <w:rFonts w:ascii="Aptos" w:hAnsi="Aptos" w:cs="Calibri"/>
        </w:rPr>
      </w:pPr>
      <w:r w:rsidRPr="00D01A50">
        <w:rPr>
          <w:rFonts w:ascii="Aptos" w:hAnsi="Aptos" w:cs="Calibri"/>
        </w:rPr>
        <w:t>Être compatible avec les droits humains : veiller à ce que les issues et les mesures correctives soient conformes aux droits humains reconnus au niveau international.</w:t>
      </w:r>
    </w:p>
    <w:p w14:paraId="23763906" w14:textId="1CDF0C78" w:rsidR="00AE5EDA" w:rsidRPr="00D01A50" w:rsidRDefault="00AE5EDA" w:rsidP="008B048C">
      <w:pPr>
        <w:pStyle w:val="ListParagraph"/>
        <w:numPr>
          <w:ilvl w:val="1"/>
          <w:numId w:val="35"/>
        </w:numPr>
        <w:jc w:val="both"/>
        <w:rPr>
          <w:rFonts w:ascii="Aptos" w:hAnsi="Aptos" w:cs="Calibri"/>
        </w:rPr>
      </w:pPr>
      <w:r w:rsidRPr="00D01A50">
        <w:rPr>
          <w:rFonts w:ascii="Aptos" w:hAnsi="Aptos" w:cs="Calibri"/>
        </w:rPr>
        <w:t>Être une source d’apprentissage continu : tirer des enseignements afin d’améliorer le mécanisme et de prévenir les plaintes et les préjudices futurs.</w:t>
      </w:r>
    </w:p>
    <w:p w14:paraId="0976624A" w14:textId="77777777" w:rsidR="00AE5EDA" w:rsidRPr="00D401FA" w:rsidRDefault="00AE5EDA" w:rsidP="00216CAF">
      <w:pPr>
        <w:jc w:val="both"/>
        <w:rPr>
          <w:rFonts w:ascii="Aptos" w:hAnsi="Aptos" w:cs="Calibri"/>
        </w:rPr>
      </w:pPr>
      <w:r w:rsidRPr="00D401FA">
        <w:rPr>
          <w:rFonts w:ascii="Aptos" w:hAnsi="Aptos" w:cs="Calibri"/>
        </w:rPr>
        <w:t>Un mécanisme de traitement des plaintes a été élaboré dans le cadre de la composante IPF du programme et sera utilisé pour le traitement des plaintes.</w:t>
      </w:r>
    </w:p>
    <w:p w14:paraId="6F32B622" w14:textId="0B1423C1" w:rsidR="00AE5EDA" w:rsidRPr="00D401FA" w:rsidRDefault="00AE5EDA" w:rsidP="00D01A50">
      <w:pPr>
        <w:pStyle w:val="Heading2"/>
      </w:pPr>
      <w:bookmarkStart w:id="114" w:name="_Toc227686292"/>
      <w:bookmarkStart w:id="115" w:name="_Toc227686336"/>
      <w:bookmarkStart w:id="116" w:name="_Toc227686382"/>
      <w:r w:rsidRPr="00D401FA">
        <w:t xml:space="preserve">Analyse comparative du système de l’Emprunteur et des principes fondamentaux de la Banque mondiale dans le cadre de la politique opérationnelle relative au </w:t>
      </w:r>
      <w:proofErr w:type="spellStart"/>
      <w:r w:rsidRPr="00D401FA">
        <w:t>PforR</w:t>
      </w:r>
      <w:bookmarkEnd w:id="114"/>
      <w:bookmarkEnd w:id="115"/>
      <w:bookmarkEnd w:id="116"/>
      <w:proofErr w:type="spellEnd"/>
    </w:p>
    <w:p w14:paraId="07821A03" w14:textId="7F9E512D" w:rsidR="00AE5EDA" w:rsidRPr="00D401FA" w:rsidRDefault="00AE5EDA" w:rsidP="00216CAF">
      <w:pPr>
        <w:jc w:val="both"/>
        <w:rPr>
          <w:rFonts w:ascii="Aptos" w:hAnsi="Aptos" w:cs="Calibri"/>
        </w:rPr>
      </w:pPr>
      <w:r w:rsidRPr="00D401FA">
        <w:rPr>
          <w:rFonts w:ascii="Aptos" w:hAnsi="Aptos" w:cs="Calibri"/>
        </w:rPr>
        <w:t>Cette évaluation a été réalisée à l’aide du cadre analytique recommandé par la Banque</w:t>
      </w:r>
      <w:r w:rsidR="00DE5854">
        <w:rPr>
          <w:rFonts w:ascii="Aptos" w:hAnsi="Aptos" w:cs="Calibri"/>
        </w:rPr>
        <w:t xml:space="preserve"> mondiale</w:t>
      </w:r>
      <w:r w:rsidRPr="00D401FA">
        <w:rPr>
          <w:rFonts w:ascii="Aptos" w:hAnsi="Aptos" w:cs="Calibri"/>
        </w:rPr>
        <w:t xml:space="preserve"> pour l’analyse des systèmes E&amp;S dans le cadre des programmes </w:t>
      </w:r>
      <w:proofErr w:type="spellStart"/>
      <w:r w:rsidRPr="00D401FA">
        <w:rPr>
          <w:rFonts w:ascii="Aptos" w:hAnsi="Aptos" w:cs="Calibri"/>
        </w:rPr>
        <w:t>PforR</w:t>
      </w:r>
      <w:proofErr w:type="spellEnd"/>
      <w:r w:rsidRPr="00D401FA">
        <w:rPr>
          <w:rFonts w:ascii="Aptos" w:hAnsi="Aptos" w:cs="Calibri"/>
        </w:rPr>
        <w:t>, sur la base des principes clés suivants applicables au PES :</w:t>
      </w:r>
    </w:p>
    <w:p w14:paraId="63D02D58" w14:textId="77777777" w:rsidR="00D01A50" w:rsidRDefault="00D01A50">
      <w:pPr>
        <w:rPr>
          <w:rFonts w:ascii="Aptos" w:hAnsi="Aptos" w:cs="Calibri"/>
          <w:b/>
          <w:bCs/>
        </w:rPr>
      </w:pPr>
      <w:r>
        <w:rPr>
          <w:rFonts w:ascii="Aptos" w:hAnsi="Aptos" w:cs="Calibri"/>
          <w:b/>
          <w:bCs/>
        </w:rPr>
        <w:br w:type="page"/>
      </w:r>
    </w:p>
    <w:p w14:paraId="252C88AF" w14:textId="4669CC52" w:rsidR="00AE5EDA" w:rsidRPr="00D01A50" w:rsidRDefault="00AE5EDA" w:rsidP="00216CAF">
      <w:pPr>
        <w:jc w:val="both"/>
        <w:rPr>
          <w:rFonts w:ascii="Aptos" w:hAnsi="Aptos" w:cs="Calibri"/>
          <w:b/>
          <w:bCs/>
        </w:rPr>
      </w:pPr>
      <w:r w:rsidRPr="00D01A50">
        <w:rPr>
          <w:rFonts w:ascii="Aptos" w:hAnsi="Aptos" w:cs="Calibri"/>
          <w:b/>
          <w:bCs/>
        </w:rPr>
        <w:t xml:space="preserve">Tableau 6 : Analyse comparative du système de l’Emprunteur et des principes fondamentaux de la Banque mondiale dans le cadre du </w:t>
      </w:r>
      <w:proofErr w:type="spellStart"/>
      <w:r w:rsidRPr="00D01A50">
        <w:rPr>
          <w:rFonts w:ascii="Aptos" w:hAnsi="Aptos" w:cs="Calibri"/>
          <w:b/>
          <w:bCs/>
        </w:rPr>
        <w:t>PforR</w:t>
      </w:r>
      <w:proofErr w:type="spellEnd"/>
    </w:p>
    <w:tbl>
      <w:tblPr>
        <w:tblStyle w:val="TableGrid"/>
        <w:tblW w:w="9355" w:type="dxa"/>
        <w:tblLook w:val="04A0" w:firstRow="1" w:lastRow="0" w:firstColumn="1" w:lastColumn="0" w:noHBand="0" w:noVBand="1"/>
      </w:tblPr>
      <w:tblGrid>
        <w:gridCol w:w="3325"/>
        <w:gridCol w:w="6030"/>
      </w:tblGrid>
      <w:tr w:rsidR="00CC296A" w:rsidRPr="00D401FA" w14:paraId="5D97C6EA" w14:textId="77777777" w:rsidTr="00A10023">
        <w:tc>
          <w:tcPr>
            <w:tcW w:w="3325" w:type="dxa"/>
            <w:vAlign w:val="center"/>
          </w:tcPr>
          <w:p w14:paraId="7B20F4DD" w14:textId="77777777" w:rsidR="00CC296A" w:rsidRPr="00D01A50" w:rsidRDefault="00CC296A" w:rsidP="00216CAF">
            <w:pPr>
              <w:jc w:val="both"/>
              <w:rPr>
                <w:rFonts w:ascii="Aptos" w:hAnsi="Aptos" w:cs="Calibri"/>
                <w:b/>
                <w:bCs/>
              </w:rPr>
            </w:pPr>
            <w:r w:rsidRPr="00D01A50">
              <w:rPr>
                <w:rFonts w:ascii="Aptos" w:hAnsi="Aptos" w:cs="Calibri"/>
                <w:b/>
                <w:bCs/>
              </w:rPr>
              <w:t>Principes fondamentaux</w:t>
            </w:r>
          </w:p>
        </w:tc>
        <w:tc>
          <w:tcPr>
            <w:tcW w:w="6030" w:type="dxa"/>
            <w:vAlign w:val="center"/>
          </w:tcPr>
          <w:p w14:paraId="3A5EB021" w14:textId="77777777" w:rsidR="00CC296A" w:rsidRPr="00D01A50" w:rsidRDefault="00CC296A" w:rsidP="00216CAF">
            <w:pPr>
              <w:jc w:val="both"/>
              <w:rPr>
                <w:rFonts w:ascii="Aptos" w:hAnsi="Aptos" w:cs="Calibri"/>
                <w:b/>
                <w:bCs/>
              </w:rPr>
            </w:pPr>
            <w:r w:rsidRPr="00D01A50">
              <w:rPr>
                <w:rFonts w:ascii="Aptos" w:hAnsi="Aptos" w:cs="Calibri"/>
                <w:b/>
                <w:bCs/>
              </w:rPr>
              <w:t>Législation nationale</w:t>
            </w:r>
          </w:p>
        </w:tc>
      </w:tr>
      <w:tr w:rsidR="00CC296A" w:rsidRPr="00D401FA" w14:paraId="5CBBE4C0" w14:textId="77777777" w:rsidTr="00D01A50">
        <w:tc>
          <w:tcPr>
            <w:tcW w:w="3325" w:type="dxa"/>
          </w:tcPr>
          <w:p w14:paraId="22B6F28D" w14:textId="27E17665" w:rsidR="00CC296A" w:rsidRPr="00DE5854" w:rsidRDefault="00CC296A" w:rsidP="00D01A50">
            <w:pPr>
              <w:rPr>
                <w:rFonts w:ascii="Aptos" w:hAnsi="Aptos" w:cs="Calibri"/>
                <w:sz w:val="20"/>
                <w:szCs w:val="20"/>
              </w:rPr>
            </w:pPr>
            <w:r w:rsidRPr="00DE5854">
              <w:rPr>
                <w:rFonts w:ascii="Aptos" w:hAnsi="Aptos" w:cs="Calibri"/>
                <w:b/>
                <w:bCs/>
                <w:sz w:val="20"/>
                <w:szCs w:val="20"/>
              </w:rPr>
              <w:t>Environnement</w:t>
            </w:r>
            <w:r w:rsidRPr="00DE5854">
              <w:rPr>
                <w:rFonts w:ascii="Aptos" w:hAnsi="Aptos" w:cs="Calibri"/>
                <w:sz w:val="20"/>
                <w:szCs w:val="20"/>
              </w:rPr>
              <w:t xml:space="preserve"> : Promouvoir la durabilité environnementale et sociale dans la conception du programme ; éviter, réduire au minimum ou atténuer les impacts négatifs et favoriser une prise de décision éclairée concernant les impacts environnementaux et sociaux du programme.</w:t>
            </w:r>
          </w:p>
        </w:tc>
        <w:tc>
          <w:tcPr>
            <w:tcW w:w="6030" w:type="dxa"/>
          </w:tcPr>
          <w:p w14:paraId="5F83C225" w14:textId="117FC590" w:rsidR="00CC296A" w:rsidRPr="00DE5854" w:rsidRDefault="00CC296A" w:rsidP="00D01A50">
            <w:pPr>
              <w:rPr>
                <w:rFonts w:ascii="Aptos" w:hAnsi="Aptos" w:cs="Calibri"/>
                <w:sz w:val="20"/>
                <w:szCs w:val="20"/>
              </w:rPr>
            </w:pPr>
            <w:r w:rsidRPr="00DE5854">
              <w:rPr>
                <w:rFonts w:ascii="Aptos" w:hAnsi="Aptos" w:cs="Calibri"/>
                <w:sz w:val="20"/>
                <w:szCs w:val="20"/>
              </w:rPr>
              <w:t xml:space="preserve">La réalisation d’une évaluation environnementale et sociale est requise. Le décret n° 2007-105 a pour objet de définir le régime juridique applicable en fonction des impacts E&amp;S d’un projet, et prévoit à cette fin l’élaboration d’une EIE ou d’une NIES. Le pays dispose par ailleurs d’une expérience dans </w:t>
            </w:r>
            <w:r w:rsidR="00DE5854">
              <w:rPr>
                <w:rFonts w:ascii="Aptos" w:hAnsi="Aptos" w:cs="Calibri"/>
                <w:sz w:val="20"/>
                <w:szCs w:val="20"/>
              </w:rPr>
              <w:t xml:space="preserve">l’élaboration et </w:t>
            </w:r>
            <w:r w:rsidRPr="00DE5854">
              <w:rPr>
                <w:rFonts w:ascii="Aptos" w:hAnsi="Aptos" w:cs="Calibri"/>
                <w:sz w:val="20"/>
                <w:szCs w:val="20"/>
              </w:rPr>
              <w:t>la mise en œuvre de programmes financés par la Banque mondiale. Les expériences et les enseignements tirés du système de gestion environnementale et sociale, issus des évaluations en cours, seront valorisés et utilisés dans les projets de ces secteurs.</w:t>
            </w:r>
          </w:p>
        </w:tc>
      </w:tr>
      <w:tr w:rsidR="00CC296A" w:rsidRPr="00D401FA" w14:paraId="4563B6CF" w14:textId="77777777" w:rsidTr="00D01A50">
        <w:tc>
          <w:tcPr>
            <w:tcW w:w="3325" w:type="dxa"/>
          </w:tcPr>
          <w:p w14:paraId="2F437563" w14:textId="3EE71F6E" w:rsidR="00CC296A" w:rsidRPr="00DE5854" w:rsidRDefault="00CC296A" w:rsidP="00D01A50">
            <w:pPr>
              <w:rPr>
                <w:rFonts w:ascii="Aptos" w:hAnsi="Aptos" w:cs="Calibri"/>
                <w:sz w:val="20"/>
                <w:szCs w:val="20"/>
              </w:rPr>
            </w:pPr>
            <w:r w:rsidRPr="00DE5854">
              <w:rPr>
                <w:rFonts w:ascii="Aptos" w:hAnsi="Aptos" w:cs="Calibri"/>
                <w:b/>
                <w:bCs/>
                <w:sz w:val="20"/>
                <w:szCs w:val="20"/>
              </w:rPr>
              <w:t>Habitats naturels et ressources culturelles</w:t>
            </w:r>
            <w:r w:rsidRPr="00DE5854">
              <w:rPr>
                <w:rFonts w:ascii="Aptos" w:hAnsi="Aptos" w:cs="Calibri"/>
                <w:sz w:val="20"/>
                <w:szCs w:val="20"/>
              </w:rPr>
              <w:t xml:space="preserve"> : Éviter, réduire au minimum ou atténuer les impacts négatifs </w:t>
            </w:r>
            <w:r w:rsidR="00DE5854" w:rsidRPr="00DE5854">
              <w:rPr>
                <w:rFonts w:ascii="Aptos" w:hAnsi="Aptos" w:cs="Calibri"/>
                <w:sz w:val="20"/>
                <w:szCs w:val="20"/>
              </w:rPr>
              <w:t xml:space="preserve">résultant du programme </w:t>
            </w:r>
            <w:r w:rsidRPr="00DE5854">
              <w:rPr>
                <w:rFonts w:ascii="Aptos" w:hAnsi="Aptos" w:cs="Calibri"/>
                <w:sz w:val="20"/>
                <w:szCs w:val="20"/>
              </w:rPr>
              <w:t>sur les habitats naturels et les ressources culturelles physiques.</w:t>
            </w:r>
          </w:p>
        </w:tc>
        <w:tc>
          <w:tcPr>
            <w:tcW w:w="6030" w:type="dxa"/>
          </w:tcPr>
          <w:p w14:paraId="49FB366C" w14:textId="137B57C3" w:rsidR="00CC296A" w:rsidRPr="00DE5854" w:rsidRDefault="00CC296A" w:rsidP="00D01A50">
            <w:pPr>
              <w:rPr>
                <w:rFonts w:ascii="Aptos" w:hAnsi="Aptos" w:cs="Calibri"/>
                <w:sz w:val="20"/>
                <w:szCs w:val="20"/>
              </w:rPr>
            </w:pPr>
            <w:r w:rsidRPr="00DE5854">
              <w:rPr>
                <w:rFonts w:ascii="Aptos" w:hAnsi="Aptos" w:cs="Calibri"/>
                <w:sz w:val="20"/>
                <w:szCs w:val="20"/>
              </w:rPr>
              <w:t>Le Code de l’environnement met clairement l’accent sur la gestion durable des ressources naturelles vivantes. La législation nationale vise notamment à garantir la conservation de la biodiversité et l’utilisation rationnelle des ressources naturelles, à lutter contre la désertification, à prévenir la pollution et les nuisances, à améliorer et protéger le cadre de vie et à concilier développement et protection de l’environnement. Une EIES est obligatoire pour toute activité susceptible d’avoir des impacts E&amp;S significatifs</w:t>
            </w:r>
            <w:r w:rsidR="00B8553C">
              <w:rPr>
                <w:rFonts w:ascii="Aptos" w:hAnsi="Aptos" w:cs="Calibri"/>
                <w:sz w:val="20"/>
                <w:szCs w:val="20"/>
              </w:rPr>
              <w:t>. De</w:t>
            </w:r>
            <w:r w:rsidRPr="00DE5854">
              <w:rPr>
                <w:rFonts w:ascii="Aptos" w:hAnsi="Aptos" w:cs="Calibri"/>
                <w:sz w:val="20"/>
                <w:szCs w:val="20"/>
              </w:rPr>
              <w:t xml:space="preserve"> telles activités sont soumises à une autorisation préalable du Ministre chargé de l’Environnement. Le Code précise que « l’environnement constitue un patrimoine national dont la gestion doit concilier les droits des générations actuelles et futures » et fait référence au patrimoine génétique à préserver ainsi qu’au patrimoine national, incluant le milieu marin et océanique. Il interdit également toute atteinte ou destruction des sites et monuments d’intérêt scientifique, culturel ou historique, et prévoit un inventaire national ainsi qu’une procédure de classement des biens patrimoniaux.</w:t>
            </w:r>
          </w:p>
        </w:tc>
      </w:tr>
      <w:tr w:rsidR="00CC296A" w:rsidRPr="00D401FA" w14:paraId="58E9218D" w14:textId="77777777" w:rsidTr="00D01A50">
        <w:tc>
          <w:tcPr>
            <w:tcW w:w="3325" w:type="dxa"/>
          </w:tcPr>
          <w:p w14:paraId="631757FD" w14:textId="77777777" w:rsidR="00DE5854" w:rsidRDefault="00DE5854" w:rsidP="00D01A50">
            <w:pPr>
              <w:rPr>
                <w:rFonts w:ascii="Aptos" w:hAnsi="Aptos" w:cs="Calibri"/>
                <w:sz w:val="20"/>
                <w:szCs w:val="20"/>
              </w:rPr>
            </w:pPr>
            <w:r>
              <w:rPr>
                <w:rFonts w:ascii="Aptos" w:hAnsi="Aptos" w:cs="Calibri"/>
                <w:b/>
                <w:bCs/>
                <w:sz w:val="20"/>
                <w:szCs w:val="20"/>
              </w:rPr>
              <w:t>S</w:t>
            </w:r>
            <w:r w:rsidR="00CC296A" w:rsidRPr="00DE5854">
              <w:rPr>
                <w:rFonts w:ascii="Aptos" w:hAnsi="Aptos" w:cs="Calibri"/>
                <w:b/>
                <w:bCs/>
                <w:sz w:val="20"/>
                <w:szCs w:val="20"/>
              </w:rPr>
              <w:t>écurité du public et des travailleurs</w:t>
            </w:r>
            <w:r w:rsidR="00CC296A" w:rsidRPr="00DE5854">
              <w:rPr>
                <w:rFonts w:ascii="Aptos" w:hAnsi="Aptos" w:cs="Calibri"/>
                <w:sz w:val="20"/>
                <w:szCs w:val="20"/>
              </w:rPr>
              <w:t xml:space="preserve"> : Protéger la sécurité du public et des travailleurs contre les risques potentiels liés : </w:t>
            </w:r>
          </w:p>
          <w:p w14:paraId="7776B948" w14:textId="77777777" w:rsidR="00DE5854" w:rsidRDefault="00CC296A" w:rsidP="00D01A50">
            <w:pPr>
              <w:rPr>
                <w:rFonts w:ascii="Aptos" w:hAnsi="Aptos" w:cs="Calibri"/>
                <w:sz w:val="20"/>
                <w:szCs w:val="20"/>
              </w:rPr>
            </w:pPr>
            <w:r w:rsidRPr="00DE5854">
              <w:rPr>
                <w:rFonts w:ascii="Aptos" w:hAnsi="Aptos" w:cs="Calibri"/>
                <w:sz w:val="20"/>
                <w:szCs w:val="20"/>
              </w:rPr>
              <w:t xml:space="preserve">(i) à la construction et/ou à l’exploitation des installations ou autres pratiques opérationnelles du programme ; </w:t>
            </w:r>
          </w:p>
          <w:p w14:paraId="6132948D" w14:textId="77777777" w:rsidR="00DE5854" w:rsidRDefault="00CC296A" w:rsidP="00D01A50">
            <w:pPr>
              <w:rPr>
                <w:rFonts w:ascii="Aptos" w:hAnsi="Aptos" w:cs="Calibri"/>
                <w:sz w:val="20"/>
                <w:szCs w:val="20"/>
              </w:rPr>
            </w:pPr>
            <w:r w:rsidRPr="00DE5854">
              <w:rPr>
                <w:rFonts w:ascii="Aptos" w:hAnsi="Aptos" w:cs="Calibri"/>
                <w:sz w:val="20"/>
                <w:szCs w:val="20"/>
              </w:rPr>
              <w:t xml:space="preserve">(ii) à l’exposition à des produits chimiques toxiques, déchets dangereux et autres substances dangereuses ; et </w:t>
            </w:r>
          </w:p>
          <w:p w14:paraId="1D68FA6B" w14:textId="26F00668" w:rsidR="00CC296A" w:rsidRPr="00DE5854" w:rsidRDefault="00CC296A" w:rsidP="00D01A50">
            <w:pPr>
              <w:rPr>
                <w:rFonts w:ascii="Aptos" w:hAnsi="Aptos" w:cs="Calibri"/>
                <w:sz w:val="20"/>
                <w:szCs w:val="20"/>
              </w:rPr>
            </w:pPr>
            <w:r w:rsidRPr="00DE5854">
              <w:rPr>
                <w:rFonts w:ascii="Aptos" w:hAnsi="Aptos" w:cs="Calibri"/>
                <w:sz w:val="20"/>
                <w:szCs w:val="20"/>
              </w:rPr>
              <w:t>(iii) à la reconstruction ou réhabilitation d’infrastructures situées dans des zones exposées aux aléas naturels.</w:t>
            </w:r>
          </w:p>
        </w:tc>
        <w:tc>
          <w:tcPr>
            <w:tcW w:w="6030" w:type="dxa"/>
          </w:tcPr>
          <w:p w14:paraId="216C2ADC" w14:textId="77777777" w:rsidR="00DE5854" w:rsidRDefault="00CC296A" w:rsidP="00D01A50">
            <w:pPr>
              <w:rPr>
                <w:rFonts w:ascii="Aptos" w:hAnsi="Aptos" w:cs="Calibri"/>
                <w:sz w:val="20"/>
                <w:szCs w:val="20"/>
              </w:rPr>
            </w:pPr>
            <w:r w:rsidRPr="00DE5854">
              <w:rPr>
                <w:rFonts w:ascii="Aptos" w:hAnsi="Aptos" w:cs="Calibri"/>
                <w:sz w:val="20"/>
                <w:szCs w:val="20"/>
              </w:rPr>
              <w:t xml:space="preserve">Le Code du travail traite de manière relativement complète des relations professionnelles. </w:t>
            </w:r>
          </w:p>
          <w:p w14:paraId="1A49A4F2" w14:textId="16499F2C" w:rsidR="00DE5854" w:rsidRDefault="00CC296A" w:rsidP="00D01A50">
            <w:pPr>
              <w:rPr>
                <w:rFonts w:ascii="Aptos" w:hAnsi="Aptos" w:cs="Calibri"/>
                <w:sz w:val="20"/>
                <w:szCs w:val="20"/>
              </w:rPr>
            </w:pPr>
            <w:r w:rsidRPr="00DE5854">
              <w:rPr>
                <w:rFonts w:ascii="Aptos" w:hAnsi="Aptos" w:cs="Calibri"/>
                <w:sz w:val="20"/>
                <w:szCs w:val="20"/>
              </w:rPr>
              <w:t xml:space="preserve">Les travailleurs contractuels, prestataires de services, fournisseurs, commerçants ou intermédiaires relèvent d’un autre cadre juridique (Code des obligations et des contrats, loi n° 2001-31 du 7 février 2001). </w:t>
            </w:r>
          </w:p>
          <w:p w14:paraId="34A1CA16" w14:textId="77777777" w:rsidR="00DE5854" w:rsidRDefault="00CC296A" w:rsidP="00D01A50">
            <w:pPr>
              <w:rPr>
                <w:rFonts w:ascii="Aptos" w:hAnsi="Aptos" w:cs="Calibri"/>
                <w:sz w:val="20"/>
                <w:szCs w:val="20"/>
              </w:rPr>
            </w:pPr>
            <w:r w:rsidRPr="00DE5854">
              <w:rPr>
                <w:rFonts w:ascii="Aptos" w:hAnsi="Aptos" w:cs="Calibri"/>
                <w:sz w:val="20"/>
                <w:szCs w:val="20"/>
              </w:rPr>
              <w:t xml:space="preserve">En matière de santé et sécurité, la législation établit l’exigence d’un environnement de travail sûr, notamment en garantissant que les lieux de travail, les machines, les équipements et les procédés sous le contrôle des employeurs ne présentent pas de risques pour la santé. Plusieurs dispositions du Code du travail encadrent la santé et la sécurité des travailleurs ainsi que les conditions de travail des femmes et des enfants. </w:t>
            </w:r>
          </w:p>
          <w:p w14:paraId="5F5B9ED4" w14:textId="756DAC48" w:rsidR="00CC296A" w:rsidRPr="00DE5854" w:rsidRDefault="00CC296A" w:rsidP="00D01A50">
            <w:pPr>
              <w:rPr>
                <w:rFonts w:ascii="Aptos" w:hAnsi="Aptos" w:cs="Calibri"/>
                <w:sz w:val="20"/>
                <w:szCs w:val="20"/>
              </w:rPr>
            </w:pPr>
            <w:r w:rsidRPr="00DE5854">
              <w:rPr>
                <w:rFonts w:ascii="Aptos" w:hAnsi="Aptos" w:cs="Calibri"/>
                <w:sz w:val="20"/>
                <w:szCs w:val="20"/>
              </w:rPr>
              <w:t>Conformément à la loi n° 2018-024, l’emploi des enfants de moins de 16 ans est interdit (art. 76). Le Code du travail est complété par la Convention collective générale du travail du 13 février 1974, dont certaines dispositions sont plus favorables aux travailleurs</w:t>
            </w:r>
            <w:r w:rsidR="00DE5854">
              <w:rPr>
                <w:rFonts w:ascii="Aptos" w:hAnsi="Aptos" w:cs="Calibri"/>
                <w:sz w:val="20"/>
                <w:szCs w:val="20"/>
              </w:rPr>
              <w:t xml:space="preserve"> dans bien des cas. </w:t>
            </w:r>
          </w:p>
        </w:tc>
      </w:tr>
      <w:tr w:rsidR="00CC296A" w:rsidRPr="00D401FA" w14:paraId="5232698A" w14:textId="77777777" w:rsidTr="00A72906">
        <w:trPr>
          <w:trHeight w:val="553"/>
        </w:trPr>
        <w:tc>
          <w:tcPr>
            <w:tcW w:w="3325" w:type="dxa"/>
          </w:tcPr>
          <w:p w14:paraId="02B905B4" w14:textId="77777777" w:rsidR="00CC296A" w:rsidRPr="00DE5854" w:rsidRDefault="00CC296A" w:rsidP="00D01A50">
            <w:pPr>
              <w:rPr>
                <w:rFonts w:ascii="Aptos" w:hAnsi="Aptos" w:cs="Calibri"/>
                <w:sz w:val="20"/>
                <w:szCs w:val="20"/>
              </w:rPr>
            </w:pPr>
            <w:r w:rsidRPr="00DE5854">
              <w:rPr>
                <w:rFonts w:ascii="Aptos" w:hAnsi="Aptos" w:cs="Calibri"/>
                <w:b/>
                <w:bCs/>
                <w:sz w:val="20"/>
                <w:szCs w:val="20"/>
              </w:rPr>
              <w:t>Acquisition de terres</w:t>
            </w:r>
            <w:r w:rsidRPr="00DE5854">
              <w:rPr>
                <w:rFonts w:ascii="Aptos" w:hAnsi="Aptos" w:cs="Calibri"/>
                <w:sz w:val="20"/>
                <w:szCs w:val="20"/>
              </w:rPr>
              <w:t xml:space="preserve"> : Gérer l’acquisition de terres et la perte d’accès aux ressources naturelles de manière à éviter ou à réduire les déplacements, et aider les personnes affectées à améliorer ou, au minimum, à rétablir leurs moyens de subsistance et leurs conditions de vie.</w:t>
            </w:r>
          </w:p>
        </w:tc>
        <w:tc>
          <w:tcPr>
            <w:tcW w:w="6030" w:type="dxa"/>
          </w:tcPr>
          <w:p w14:paraId="0F1C77F3" w14:textId="77777777" w:rsidR="00CC296A" w:rsidRPr="00DE5854" w:rsidRDefault="00CC296A" w:rsidP="00D01A50">
            <w:pPr>
              <w:rPr>
                <w:rFonts w:ascii="Aptos" w:hAnsi="Aptos" w:cs="Calibri"/>
                <w:sz w:val="20"/>
                <w:szCs w:val="20"/>
              </w:rPr>
            </w:pPr>
            <w:r w:rsidRPr="00DE5854">
              <w:rPr>
                <w:rFonts w:ascii="Aptos" w:hAnsi="Aptos" w:cs="Calibri"/>
                <w:sz w:val="20"/>
                <w:szCs w:val="20"/>
              </w:rPr>
              <w:t>Le programme prévoit des travaux de génie civil et des activités de construction. Cependant, le programme n’inclura pas la construction ou la réhabilitation d’ouvrages entraînant des déplacements significatifs de populations, des acquisitions foncières massives, la démolition d’un nombre important d’habitations ou des restrictions substantielles d’accès aux ressources économiques dans le cadre d’IQRAA.</w:t>
            </w:r>
          </w:p>
        </w:tc>
      </w:tr>
      <w:tr w:rsidR="00CC296A" w:rsidRPr="00D401FA" w14:paraId="1AC9E93A" w14:textId="77777777" w:rsidTr="00D01A50">
        <w:trPr>
          <w:trHeight w:val="2024"/>
        </w:trPr>
        <w:tc>
          <w:tcPr>
            <w:tcW w:w="3325" w:type="dxa"/>
          </w:tcPr>
          <w:p w14:paraId="7307AFD1" w14:textId="77777777" w:rsidR="00CC296A" w:rsidRPr="00DE5854" w:rsidRDefault="00CC296A" w:rsidP="00D01A50">
            <w:pPr>
              <w:widowControl w:val="0"/>
              <w:autoSpaceDE w:val="0"/>
              <w:autoSpaceDN w:val="0"/>
              <w:adjustRightInd w:val="0"/>
              <w:rPr>
                <w:rFonts w:ascii="Aptos" w:hAnsi="Aptos" w:cs="Calibri"/>
                <w:sz w:val="20"/>
                <w:szCs w:val="20"/>
              </w:rPr>
            </w:pPr>
            <w:r w:rsidRPr="00DE5854">
              <w:rPr>
                <w:rFonts w:ascii="Aptos" w:hAnsi="Aptos" w:cs="Calibri"/>
                <w:b/>
                <w:bCs/>
                <w:sz w:val="20"/>
                <w:szCs w:val="20"/>
              </w:rPr>
              <w:t>Peuples autochtones / communautés locales traditionnelles d’Afrique subsaharienne historiquement défavorisées</w:t>
            </w:r>
            <w:r w:rsidRPr="00DE5854">
              <w:rPr>
                <w:rFonts w:ascii="Aptos" w:hAnsi="Aptos" w:cs="Calibri"/>
                <w:sz w:val="20"/>
                <w:szCs w:val="20"/>
              </w:rPr>
              <w:t xml:space="preserve"> : Prendre en compte de manière appropriée les spécificités culturelles et garantir un accès équitable aux bénéfices du programme, en accordant une attention particulière aux droits et intérêts de ces populations ainsi qu’aux besoins des groupes vulnérables.</w:t>
            </w:r>
          </w:p>
        </w:tc>
        <w:tc>
          <w:tcPr>
            <w:tcW w:w="6030" w:type="dxa"/>
          </w:tcPr>
          <w:p w14:paraId="08F0D938" w14:textId="77777777" w:rsidR="00CC296A" w:rsidRPr="00DE5854" w:rsidRDefault="00CC296A" w:rsidP="00D01A50">
            <w:pPr>
              <w:rPr>
                <w:rFonts w:ascii="Aptos" w:hAnsi="Aptos" w:cs="Calibri"/>
                <w:sz w:val="20"/>
                <w:szCs w:val="20"/>
              </w:rPr>
            </w:pPr>
            <w:r w:rsidRPr="00DE5854">
              <w:rPr>
                <w:rFonts w:ascii="Aptos" w:hAnsi="Aptos" w:cs="Calibri"/>
                <w:sz w:val="20"/>
                <w:szCs w:val="20"/>
              </w:rPr>
              <w:t>Ce principe n’est pas applicable au programme, en l’absence de peuples autochtones dans la zone d’intervention du projet.</w:t>
            </w:r>
          </w:p>
        </w:tc>
      </w:tr>
      <w:tr w:rsidR="00CC296A" w:rsidRPr="00D401FA" w14:paraId="07E9E1F9" w14:textId="77777777" w:rsidTr="00D01A50">
        <w:trPr>
          <w:trHeight w:val="2024"/>
        </w:trPr>
        <w:tc>
          <w:tcPr>
            <w:tcW w:w="3325" w:type="dxa"/>
          </w:tcPr>
          <w:p w14:paraId="4F050C2B" w14:textId="77777777" w:rsidR="00CC296A" w:rsidRPr="00DE5854" w:rsidRDefault="00CC296A" w:rsidP="00D01A50">
            <w:pPr>
              <w:rPr>
                <w:rFonts w:ascii="Aptos" w:eastAsiaTheme="minorEastAsia" w:hAnsi="Aptos"/>
                <w:sz w:val="20"/>
                <w:szCs w:val="20"/>
              </w:rPr>
            </w:pPr>
            <w:r w:rsidRPr="00DE5854">
              <w:rPr>
                <w:rFonts w:ascii="Aptos" w:hAnsi="Aptos" w:cs="Calibri"/>
                <w:b/>
                <w:bCs/>
                <w:sz w:val="20"/>
                <w:szCs w:val="20"/>
              </w:rPr>
              <w:t>Considérations sociales – Conflits sociaux</w:t>
            </w:r>
            <w:r w:rsidRPr="00DE5854">
              <w:rPr>
                <w:rFonts w:ascii="Aptos" w:hAnsi="Aptos" w:cs="Calibri"/>
                <w:sz w:val="20"/>
                <w:szCs w:val="20"/>
              </w:rPr>
              <w:t xml:space="preserve"> : Éviter d’exacerber les conflits sociaux, notamment dans les États fragiles, les zones post-conflit ou les zones caractérisées par des litiges fonciers.</w:t>
            </w:r>
          </w:p>
        </w:tc>
        <w:tc>
          <w:tcPr>
            <w:tcW w:w="6030" w:type="dxa"/>
          </w:tcPr>
          <w:p w14:paraId="0FB0AD02" w14:textId="77777777" w:rsidR="00CC296A" w:rsidRPr="00DE5854" w:rsidRDefault="00CC296A" w:rsidP="00D01A50">
            <w:pPr>
              <w:rPr>
                <w:rFonts w:ascii="Aptos" w:hAnsi="Aptos" w:cs="Calibri"/>
                <w:sz w:val="20"/>
                <w:szCs w:val="20"/>
              </w:rPr>
            </w:pPr>
            <w:r w:rsidRPr="00DE5854">
              <w:rPr>
                <w:rFonts w:ascii="Aptos" w:hAnsi="Aptos" w:cs="Calibri"/>
                <w:sz w:val="20"/>
                <w:szCs w:val="20"/>
              </w:rPr>
              <w:t>Ce principe n’est pas applicable au programme, aucun conflit social n’ayant été relevé dans la zone d’intervention du projet.</w:t>
            </w:r>
          </w:p>
        </w:tc>
      </w:tr>
    </w:tbl>
    <w:p w14:paraId="128E6997" w14:textId="77777777" w:rsidR="007326CC" w:rsidRPr="00D401FA" w:rsidRDefault="007326CC" w:rsidP="00216CAF">
      <w:pPr>
        <w:jc w:val="both"/>
        <w:rPr>
          <w:rFonts w:ascii="Aptos" w:hAnsi="Aptos" w:cs="Calibri"/>
        </w:rPr>
      </w:pPr>
    </w:p>
    <w:p w14:paraId="52D424CC" w14:textId="77777777" w:rsidR="00D01A50" w:rsidRDefault="00D01A50">
      <w:pPr>
        <w:rPr>
          <w:rFonts w:ascii="Aptos" w:hAnsi="Aptos" w:cs="Calibri"/>
          <w:b/>
          <w:bCs/>
        </w:rPr>
      </w:pPr>
      <w:r>
        <w:rPr>
          <w:rFonts w:ascii="Aptos" w:hAnsi="Aptos" w:cs="Calibri"/>
          <w:b/>
          <w:bCs/>
        </w:rPr>
        <w:br w:type="page"/>
      </w:r>
    </w:p>
    <w:p w14:paraId="74B8A01E" w14:textId="60D16DA6" w:rsidR="00C84E80" w:rsidRPr="00D401FA" w:rsidRDefault="00C84E80" w:rsidP="00D01A50">
      <w:pPr>
        <w:pStyle w:val="Heading1"/>
      </w:pPr>
      <w:bookmarkStart w:id="117" w:name="_Toc227686293"/>
      <w:bookmarkStart w:id="118" w:name="_Toc227686337"/>
      <w:bookmarkStart w:id="119" w:name="_Toc227686383"/>
      <w:r w:rsidRPr="00D401FA">
        <w:t xml:space="preserve">Recommandations et </w:t>
      </w:r>
      <w:r w:rsidR="00D01A50">
        <w:t>p</w:t>
      </w:r>
      <w:r w:rsidRPr="00D401FA">
        <w:t>lan d’action du programme</w:t>
      </w:r>
      <w:bookmarkEnd w:id="117"/>
      <w:bookmarkEnd w:id="118"/>
      <w:bookmarkEnd w:id="119"/>
    </w:p>
    <w:p w14:paraId="69E38FBD" w14:textId="652453EF" w:rsidR="00C84E80" w:rsidRPr="00D401FA" w:rsidRDefault="00C84E80" w:rsidP="00216CAF">
      <w:pPr>
        <w:jc w:val="both"/>
        <w:rPr>
          <w:rFonts w:ascii="Aptos" w:hAnsi="Aptos" w:cs="Calibri"/>
        </w:rPr>
      </w:pPr>
      <w:r w:rsidRPr="00D401FA">
        <w:rPr>
          <w:rFonts w:ascii="Aptos" w:hAnsi="Aptos" w:cs="Calibri"/>
        </w:rPr>
        <w:t xml:space="preserve">Afin de mettre en place les mesures de sauvegarde environnementales et sociales nécessaires et de combler les lacunes et dysfonctionnements constatés dans l’ESES, </w:t>
      </w:r>
      <w:r w:rsidR="00A72906">
        <w:rPr>
          <w:rFonts w:ascii="Aptos" w:hAnsi="Aptos" w:cs="Calibri"/>
        </w:rPr>
        <w:t xml:space="preserve">le programme </w:t>
      </w:r>
      <w:r w:rsidRPr="00D401FA">
        <w:rPr>
          <w:rFonts w:ascii="Aptos" w:hAnsi="Aptos" w:cs="Calibri"/>
        </w:rPr>
        <w:t xml:space="preserve">IQRAA appuiera des mesures spécifiques pour renforcer la performance du système de gestion environnementale et sociale des investissements du MEF et du MERSE. Ces mesures seront mises en œuvre à travers un </w:t>
      </w:r>
      <w:r w:rsidRPr="00D01A50">
        <w:rPr>
          <w:rFonts w:ascii="Aptos" w:hAnsi="Aptos" w:cs="Calibri"/>
          <w:b/>
          <w:bCs/>
          <w:i/>
          <w:iCs/>
        </w:rPr>
        <w:t>Plan d’action de gestion environnementale et sociale</w:t>
      </w:r>
      <w:r w:rsidRPr="00D401FA">
        <w:rPr>
          <w:rFonts w:ascii="Aptos" w:hAnsi="Aptos" w:cs="Calibri"/>
        </w:rPr>
        <w:t xml:space="preserve"> pour les activités du Programme, intégrant un ensemble de mesures spécifiques et concrètes. Ce Plan fait partie du Plan d’action global d’IQRAA.</w:t>
      </w:r>
    </w:p>
    <w:p w14:paraId="5A0E34C7" w14:textId="77777777" w:rsidR="00C84E80" w:rsidRPr="00D401FA" w:rsidRDefault="00C84E80" w:rsidP="00216CAF">
      <w:pPr>
        <w:jc w:val="both"/>
        <w:rPr>
          <w:rFonts w:ascii="Aptos" w:hAnsi="Aptos" w:cs="Calibri"/>
        </w:rPr>
      </w:pPr>
      <w:r w:rsidRPr="00D401FA">
        <w:rPr>
          <w:rFonts w:ascii="Aptos" w:hAnsi="Aptos" w:cs="Calibri"/>
        </w:rPr>
        <w:t xml:space="preserve">Le </w:t>
      </w:r>
      <w:r w:rsidRPr="00A72906">
        <w:rPr>
          <w:rFonts w:ascii="Aptos" w:hAnsi="Aptos" w:cs="Calibri"/>
          <w:b/>
          <w:bCs/>
          <w:i/>
          <w:iCs/>
        </w:rPr>
        <w:t>Plan d’action du Programme</w:t>
      </w:r>
      <w:r w:rsidRPr="00D401FA">
        <w:rPr>
          <w:rFonts w:ascii="Aptos" w:hAnsi="Aptos" w:cs="Calibri"/>
        </w:rPr>
        <w:t xml:space="preserve"> définit trois axes de recommandations, chacun comportant des activités distinctes et complémentaires.</w:t>
      </w:r>
    </w:p>
    <w:p w14:paraId="6E0B9E71" w14:textId="77777777" w:rsidR="00C84E80" w:rsidRPr="00D401FA" w:rsidRDefault="00C84E80" w:rsidP="00216CAF">
      <w:pPr>
        <w:jc w:val="both"/>
        <w:rPr>
          <w:rFonts w:ascii="Aptos" w:hAnsi="Aptos" w:cs="Calibri"/>
        </w:rPr>
      </w:pPr>
      <w:r w:rsidRPr="00D401FA">
        <w:rPr>
          <w:rFonts w:ascii="Aptos" w:hAnsi="Aptos" w:cs="Calibri"/>
        </w:rPr>
        <w:t xml:space="preserve">Le premier axe de recommandations porte sur le </w:t>
      </w:r>
      <w:r w:rsidRPr="00721BAA">
        <w:rPr>
          <w:rFonts w:ascii="Aptos" w:hAnsi="Aptos" w:cs="Calibri"/>
          <w:b/>
          <w:bCs/>
          <w:i/>
          <w:iCs/>
        </w:rPr>
        <w:t>renforcement du système de gestion environnementale et sociale du secteur de l’éducation</w:t>
      </w:r>
      <w:r w:rsidRPr="00D401FA">
        <w:rPr>
          <w:rFonts w:ascii="Aptos" w:hAnsi="Aptos" w:cs="Calibri"/>
        </w:rPr>
        <w:t>. Il comprend les éléments suivants :</w:t>
      </w:r>
    </w:p>
    <w:p w14:paraId="4ECA4152" w14:textId="54EE6712" w:rsidR="00C84E80" w:rsidRPr="00D01A50" w:rsidRDefault="00C84E80" w:rsidP="008B048C">
      <w:pPr>
        <w:pStyle w:val="ListParagraph"/>
        <w:numPr>
          <w:ilvl w:val="0"/>
          <w:numId w:val="36"/>
        </w:numPr>
        <w:jc w:val="both"/>
        <w:rPr>
          <w:rFonts w:ascii="Aptos" w:hAnsi="Aptos" w:cs="Calibri"/>
        </w:rPr>
      </w:pPr>
      <w:r w:rsidRPr="00D01A50">
        <w:rPr>
          <w:rFonts w:ascii="Aptos" w:hAnsi="Aptos" w:cs="Calibri"/>
          <w:b/>
          <w:bCs/>
        </w:rPr>
        <w:t>Manuel technique.</w:t>
      </w:r>
      <w:r w:rsidRPr="00D01A50">
        <w:rPr>
          <w:rFonts w:ascii="Aptos" w:hAnsi="Aptos" w:cs="Calibri"/>
        </w:rPr>
        <w:t xml:space="preserve"> Au titre de cet axe, un </w:t>
      </w:r>
      <w:r w:rsidRPr="00A72906">
        <w:rPr>
          <w:rFonts w:ascii="Aptos" w:hAnsi="Aptos" w:cs="Calibri"/>
          <w:i/>
          <w:iCs/>
        </w:rPr>
        <w:t>Manuel Technique de Gestion Environnementale et Sociale (MTGES</w:t>
      </w:r>
      <w:r w:rsidRPr="00D01A50">
        <w:rPr>
          <w:rFonts w:ascii="Aptos" w:hAnsi="Aptos" w:cs="Calibri"/>
        </w:rPr>
        <w:t xml:space="preserve">) sera élaboré, sera intégré au Manuel des opérations du Programme et se conformera aux procédures nationales en matière d’évaluation environnementale et sociale, ainsi qu’aux dispositions des politiques de la Banque mondiale relatives au financement </w:t>
      </w:r>
      <w:proofErr w:type="spellStart"/>
      <w:r w:rsidRPr="00D01A50">
        <w:rPr>
          <w:rFonts w:ascii="Aptos" w:hAnsi="Aptos" w:cs="Calibri"/>
        </w:rPr>
        <w:t>PforR</w:t>
      </w:r>
      <w:proofErr w:type="spellEnd"/>
      <w:r w:rsidRPr="00D01A50">
        <w:rPr>
          <w:rFonts w:ascii="Aptos" w:hAnsi="Aptos" w:cs="Calibri"/>
        </w:rPr>
        <w:t xml:space="preserve">. Plus précisément, le manuel présentera les procédures et outils pour la préparation d’un </w:t>
      </w:r>
      <w:r w:rsidRPr="00721BAA">
        <w:rPr>
          <w:rFonts w:ascii="Aptos" w:hAnsi="Aptos" w:cs="Calibri"/>
          <w:i/>
          <w:iCs/>
        </w:rPr>
        <w:t xml:space="preserve">Plan de </w:t>
      </w:r>
      <w:r w:rsidR="00721BAA" w:rsidRPr="00721BAA">
        <w:rPr>
          <w:rFonts w:ascii="Aptos" w:hAnsi="Aptos" w:cs="Calibri"/>
          <w:i/>
          <w:iCs/>
        </w:rPr>
        <w:t>gestion environnementale et sociale</w:t>
      </w:r>
      <w:r w:rsidR="00721BAA" w:rsidRPr="00D01A50">
        <w:rPr>
          <w:rFonts w:ascii="Aptos" w:hAnsi="Aptos" w:cs="Calibri"/>
        </w:rPr>
        <w:t xml:space="preserve"> </w:t>
      </w:r>
      <w:r w:rsidRPr="00D01A50">
        <w:rPr>
          <w:rFonts w:ascii="Aptos" w:hAnsi="Aptos" w:cs="Calibri"/>
        </w:rPr>
        <w:t xml:space="preserve">(PGES) pour les sous-projets d’investissement présentant des risques environnementaux significatifs, ainsi que d’un </w:t>
      </w:r>
      <w:r w:rsidRPr="00721BAA">
        <w:rPr>
          <w:rFonts w:ascii="Aptos" w:hAnsi="Aptos" w:cs="Calibri"/>
          <w:i/>
          <w:iCs/>
        </w:rPr>
        <w:t>Plan d’Action de Réinstallation</w:t>
      </w:r>
      <w:r w:rsidRPr="00D01A50">
        <w:rPr>
          <w:rFonts w:ascii="Aptos" w:hAnsi="Aptos" w:cs="Calibri"/>
        </w:rPr>
        <w:t xml:space="preserve"> (PAR) pour les sous-projets présentant des risques sociaux significatifs.</w:t>
      </w:r>
    </w:p>
    <w:p w14:paraId="4038D2C3" w14:textId="77777777" w:rsidR="00C84E80" w:rsidRPr="00D01A50" w:rsidRDefault="00C84E80" w:rsidP="00D01A50">
      <w:pPr>
        <w:pStyle w:val="ListParagraph"/>
        <w:contextualSpacing w:val="0"/>
        <w:jc w:val="both"/>
        <w:rPr>
          <w:rFonts w:ascii="Aptos" w:hAnsi="Aptos" w:cs="Calibri"/>
        </w:rPr>
      </w:pPr>
      <w:r w:rsidRPr="00D01A50">
        <w:rPr>
          <w:rFonts w:ascii="Aptos" w:hAnsi="Aptos" w:cs="Calibri"/>
        </w:rPr>
        <w:t>Le manuel sera destiné aux entités d’exécution et à leurs services techniques, ainsi qu’à l’ensemble des parties prenantes impliquées dans la mise en œuvre d’IQRAA aux niveaux national et régional. Il assurera une bonne compréhension, une appropriation complète et un suivi efficace des procédures de gestion environnementale et sociale.</w:t>
      </w:r>
    </w:p>
    <w:p w14:paraId="5EFA52DD" w14:textId="0F5A6806" w:rsidR="00C84E80" w:rsidRPr="00D01A50" w:rsidRDefault="00C84E80" w:rsidP="008B048C">
      <w:pPr>
        <w:pStyle w:val="ListParagraph"/>
        <w:numPr>
          <w:ilvl w:val="0"/>
          <w:numId w:val="36"/>
        </w:numPr>
        <w:ind w:left="714" w:hanging="357"/>
        <w:contextualSpacing w:val="0"/>
        <w:jc w:val="both"/>
        <w:rPr>
          <w:rFonts w:ascii="Aptos" w:hAnsi="Aptos" w:cs="Calibri"/>
        </w:rPr>
      </w:pPr>
      <w:r w:rsidRPr="00D01A50">
        <w:rPr>
          <w:rFonts w:ascii="Aptos" w:hAnsi="Aptos" w:cs="Calibri"/>
          <w:b/>
          <w:bCs/>
        </w:rPr>
        <w:t>Atelier de validation du manuel.</w:t>
      </w:r>
      <w:r w:rsidRPr="00D01A50">
        <w:rPr>
          <w:rFonts w:ascii="Aptos" w:hAnsi="Aptos" w:cs="Calibri"/>
        </w:rPr>
        <w:t xml:space="preserve"> Un atelier sera organisé aux niveaux national et régional afin de présenter les éléments fondamentaux du MTGES aux représentants des principales parties prenantes et de recueillir leurs avis et suggestions, avant l’élaboration de la version finale qui sera approuvée et publiée par le MEF/MERSE/UCP.</w:t>
      </w:r>
    </w:p>
    <w:p w14:paraId="4449C1D3" w14:textId="3EB6E587" w:rsidR="00C84E80" w:rsidRPr="00D01A50" w:rsidRDefault="00C84E80" w:rsidP="008B048C">
      <w:pPr>
        <w:pStyle w:val="ListParagraph"/>
        <w:numPr>
          <w:ilvl w:val="0"/>
          <w:numId w:val="36"/>
        </w:numPr>
        <w:ind w:left="714" w:hanging="357"/>
        <w:contextualSpacing w:val="0"/>
        <w:jc w:val="both"/>
        <w:rPr>
          <w:rFonts w:ascii="Aptos" w:hAnsi="Aptos" w:cs="Calibri"/>
        </w:rPr>
      </w:pPr>
      <w:r w:rsidRPr="00D01A50">
        <w:rPr>
          <w:rFonts w:ascii="Aptos" w:hAnsi="Aptos" w:cs="Calibri"/>
          <w:b/>
          <w:bCs/>
        </w:rPr>
        <w:t>Points focaux.</w:t>
      </w:r>
      <w:r w:rsidRPr="00D01A50">
        <w:rPr>
          <w:rFonts w:ascii="Aptos" w:hAnsi="Aptos" w:cs="Calibri"/>
        </w:rPr>
        <w:t xml:space="preserve"> Deux personnes seront désignées et/ou recrutées au sein de l’UCP en tant que points focaux chargés de la gestion environnementale et sociale d’IQRAA. Ces personnes – un spécialiste environnemental et un spécialiste social – auront pour mission d’assurer une coordination étroite entre toutes les parties prenantes : coordination et suivi des actions de renforcement du système de gestion environnementale et sociale des </w:t>
      </w:r>
      <w:r w:rsidR="00721BAA">
        <w:rPr>
          <w:rFonts w:ascii="Aptos" w:hAnsi="Aptos" w:cs="Calibri"/>
        </w:rPr>
        <w:t>entités d’exécution</w:t>
      </w:r>
      <w:r w:rsidRPr="00D01A50">
        <w:rPr>
          <w:rFonts w:ascii="Aptos" w:hAnsi="Aptos" w:cs="Calibri"/>
        </w:rPr>
        <w:t xml:space="preserve"> ; collecte et centralisation des informations relatives aux risques environnementaux et sociaux et aux mesures d’atténuation ; suivi de la mise en œuvre des mesures d’atténuation et intégration des données dans le système d’information, ainsi que l’établissement de rapports (conformément aux principes du MTGES).</w:t>
      </w:r>
    </w:p>
    <w:p w14:paraId="5C9D97D0" w14:textId="77777777" w:rsidR="00C84E80" w:rsidRPr="00D401FA" w:rsidRDefault="00C84E80" w:rsidP="00216CAF">
      <w:pPr>
        <w:jc w:val="both"/>
        <w:rPr>
          <w:rFonts w:ascii="Aptos" w:hAnsi="Aptos" w:cs="Calibri"/>
        </w:rPr>
      </w:pPr>
      <w:r w:rsidRPr="00D401FA">
        <w:rPr>
          <w:rFonts w:ascii="Aptos" w:hAnsi="Aptos" w:cs="Calibri"/>
        </w:rPr>
        <w:t xml:space="preserve">Le deuxième axe de recommandations porte sur le </w:t>
      </w:r>
      <w:r w:rsidRPr="00182622">
        <w:rPr>
          <w:rFonts w:ascii="Aptos" w:hAnsi="Aptos" w:cs="Calibri"/>
          <w:b/>
          <w:bCs/>
          <w:i/>
          <w:iCs/>
        </w:rPr>
        <w:t>renforcement des capacités en matière de gestion environnementale et sociale</w:t>
      </w:r>
      <w:r w:rsidRPr="00D401FA">
        <w:rPr>
          <w:rFonts w:ascii="Aptos" w:hAnsi="Aptos" w:cs="Calibri"/>
        </w:rPr>
        <w:t xml:space="preserve"> des principaux acteurs d’IQRAA et des représentants des parties prenantes. Il comprend deux types d’activités distinctes :</w:t>
      </w:r>
    </w:p>
    <w:p w14:paraId="24D5F070" w14:textId="411A7EDF" w:rsidR="00C84E80" w:rsidRPr="00182622" w:rsidRDefault="00C84E80" w:rsidP="008B048C">
      <w:pPr>
        <w:pStyle w:val="ListParagraph"/>
        <w:numPr>
          <w:ilvl w:val="0"/>
          <w:numId w:val="37"/>
        </w:numPr>
        <w:ind w:left="714" w:hanging="357"/>
        <w:contextualSpacing w:val="0"/>
        <w:jc w:val="both"/>
        <w:rPr>
          <w:rFonts w:ascii="Aptos" w:hAnsi="Aptos" w:cs="Calibri"/>
        </w:rPr>
      </w:pPr>
      <w:r w:rsidRPr="00182622">
        <w:rPr>
          <w:rFonts w:ascii="Aptos" w:hAnsi="Aptos" w:cs="Calibri"/>
          <w:b/>
          <w:bCs/>
        </w:rPr>
        <w:t>Information et sensibilisation.</w:t>
      </w:r>
      <w:r w:rsidRPr="00182622">
        <w:rPr>
          <w:rFonts w:ascii="Aptos" w:hAnsi="Aptos" w:cs="Calibri"/>
        </w:rPr>
        <w:t xml:space="preserve"> Il s’agira d’organiser plusieurs initiatives de sensibilisation et d’information d’un large public sur les enjeux environnementaux et sociaux des activités d’investissement du Programme et de renforcer </w:t>
      </w:r>
      <w:r w:rsidR="00721BAA">
        <w:rPr>
          <w:rFonts w:ascii="Aptos" w:hAnsi="Aptos" w:cs="Calibri"/>
        </w:rPr>
        <w:t>la mobilisation</w:t>
      </w:r>
      <w:r w:rsidRPr="00182622">
        <w:rPr>
          <w:rFonts w:ascii="Aptos" w:hAnsi="Aptos" w:cs="Calibri"/>
        </w:rPr>
        <w:t xml:space="preserve"> citoyen</w:t>
      </w:r>
      <w:r w:rsidR="00721BAA">
        <w:rPr>
          <w:rFonts w:ascii="Aptos" w:hAnsi="Aptos" w:cs="Calibri"/>
        </w:rPr>
        <w:t>ne</w:t>
      </w:r>
      <w:r w:rsidRPr="00182622">
        <w:rPr>
          <w:rFonts w:ascii="Aptos" w:hAnsi="Aptos" w:cs="Calibri"/>
        </w:rPr>
        <w:t xml:space="preserve"> de manière continue. Au titre de ces initiatives, des séances publiques seront </w:t>
      </w:r>
      <w:r w:rsidR="00721BAA">
        <w:rPr>
          <w:rFonts w:ascii="Aptos" w:hAnsi="Aptos" w:cs="Calibri"/>
        </w:rPr>
        <w:t>fréquemment</w:t>
      </w:r>
      <w:r w:rsidRPr="00182622">
        <w:rPr>
          <w:rFonts w:ascii="Aptos" w:hAnsi="Aptos" w:cs="Calibri"/>
        </w:rPr>
        <w:t xml:space="preserve"> organisées avec les représentants de toutes les localités concernées. Ces initiatives appuieront également la mise en place et le fonctionnement d’un mécanisme de traitement des plaintes (y compris les plaintes soumises au Service de traitement des plaintes de la Banque mondiale – GRS).</w:t>
      </w:r>
    </w:p>
    <w:p w14:paraId="3E75C56A" w14:textId="710BDC92" w:rsidR="00C84E80" w:rsidRPr="00182622" w:rsidRDefault="00C84E80" w:rsidP="008B048C">
      <w:pPr>
        <w:pStyle w:val="ListParagraph"/>
        <w:numPr>
          <w:ilvl w:val="0"/>
          <w:numId w:val="37"/>
        </w:numPr>
        <w:jc w:val="both"/>
        <w:rPr>
          <w:rFonts w:ascii="Aptos" w:hAnsi="Aptos" w:cs="Calibri"/>
        </w:rPr>
      </w:pPr>
      <w:r w:rsidRPr="00182622">
        <w:rPr>
          <w:rFonts w:ascii="Aptos" w:hAnsi="Aptos" w:cs="Calibri"/>
          <w:b/>
          <w:bCs/>
        </w:rPr>
        <w:t>Formations.</w:t>
      </w:r>
      <w:r w:rsidRPr="00182622">
        <w:rPr>
          <w:rFonts w:ascii="Aptos" w:hAnsi="Aptos" w:cs="Calibri"/>
        </w:rPr>
        <w:t xml:space="preserve"> Il s’agira d’organiser des sessions de formation plus spécialisées destinées aux acteurs directement impliqués dans la mise en œuvre des investissements du Programme, afin de renforcer leurs capacités sur les enjeux environnementaux et sociaux. Ces formations porteront notamment sur : (i) la compréhension du MTGES et des différentes procédures et pratiques ; et (ii) la maîtrise des outils de gestion environnementale et sociale – F</w:t>
      </w:r>
      <w:r w:rsidR="00296CD3">
        <w:rPr>
          <w:rFonts w:ascii="Aptos" w:hAnsi="Aptos" w:cs="Calibri"/>
        </w:rPr>
        <w:t>iche de diagnostic simplifié (F</w:t>
      </w:r>
      <w:r w:rsidRPr="00182622">
        <w:rPr>
          <w:rFonts w:ascii="Aptos" w:hAnsi="Aptos" w:cs="Calibri"/>
        </w:rPr>
        <w:t>IDS</w:t>
      </w:r>
      <w:r w:rsidR="00296CD3">
        <w:rPr>
          <w:rFonts w:ascii="Aptos" w:hAnsi="Aptos" w:cs="Calibri"/>
        </w:rPr>
        <w:t>)</w:t>
      </w:r>
      <w:r w:rsidRPr="00182622">
        <w:rPr>
          <w:rFonts w:ascii="Aptos" w:hAnsi="Aptos" w:cs="Calibri"/>
        </w:rPr>
        <w:t>, EIES, PGES et PAR, ou F</w:t>
      </w:r>
      <w:r w:rsidR="00296CD3">
        <w:rPr>
          <w:rFonts w:ascii="Aptos" w:hAnsi="Aptos" w:cs="Calibri"/>
        </w:rPr>
        <w:t>iche d’information environnementale et sociale (F</w:t>
      </w:r>
      <w:r w:rsidRPr="00182622">
        <w:rPr>
          <w:rFonts w:ascii="Aptos" w:hAnsi="Aptos" w:cs="Calibri"/>
        </w:rPr>
        <w:t>IES</w:t>
      </w:r>
      <w:r w:rsidR="00296CD3">
        <w:rPr>
          <w:rFonts w:ascii="Aptos" w:hAnsi="Aptos" w:cs="Calibri"/>
        </w:rPr>
        <w:t>)</w:t>
      </w:r>
      <w:r w:rsidRPr="00182622">
        <w:rPr>
          <w:rFonts w:ascii="Aptos" w:hAnsi="Aptos" w:cs="Calibri"/>
        </w:rPr>
        <w:t xml:space="preserve"> – qui seront élaborés pour chaque sous-projet d’investissement, en fonction de l’ampleur des risques environnementaux et sociaux associés, conformément aux dispositions nationales et aux politiques de la Banque mondiale.</w:t>
      </w:r>
    </w:p>
    <w:p w14:paraId="47234D59" w14:textId="77777777" w:rsidR="00C84E80" w:rsidRPr="00D401FA" w:rsidRDefault="00C84E80" w:rsidP="00216CAF">
      <w:pPr>
        <w:jc w:val="both"/>
        <w:rPr>
          <w:rFonts w:ascii="Aptos" w:hAnsi="Aptos" w:cs="Calibri"/>
        </w:rPr>
      </w:pPr>
      <w:r w:rsidRPr="00D401FA">
        <w:rPr>
          <w:rFonts w:ascii="Aptos" w:hAnsi="Aptos" w:cs="Calibri"/>
        </w:rPr>
        <w:t xml:space="preserve">Enfin, le troisième et dernier axe du Plan d’action porte sur le </w:t>
      </w:r>
      <w:r w:rsidRPr="00182622">
        <w:rPr>
          <w:rFonts w:ascii="Aptos" w:hAnsi="Aptos" w:cs="Calibri"/>
          <w:b/>
          <w:bCs/>
          <w:i/>
          <w:iCs/>
        </w:rPr>
        <w:t>renforcement des capacités en matière de mise en œuvre des outils de suivi</w:t>
      </w:r>
      <w:r w:rsidRPr="00D401FA">
        <w:rPr>
          <w:rFonts w:ascii="Aptos" w:hAnsi="Aptos" w:cs="Calibri"/>
        </w:rPr>
        <w:t>. Il comprend des actions ciblées visant, d’une part, à mettre en place un système de suivi et de contrôle des mesures de gestion environnementale et sociale des sous-projets d’investissement au niveau local et, d’autre part, à former les parties prenantes à l’utilisation des outils de suivi.</w:t>
      </w:r>
    </w:p>
    <w:p w14:paraId="305B2101" w14:textId="4CC6D070" w:rsidR="00C84E80" w:rsidRPr="00182622" w:rsidRDefault="00C84E80" w:rsidP="008B048C">
      <w:pPr>
        <w:pStyle w:val="ListParagraph"/>
        <w:numPr>
          <w:ilvl w:val="0"/>
          <w:numId w:val="37"/>
        </w:numPr>
        <w:ind w:left="714" w:hanging="357"/>
        <w:contextualSpacing w:val="0"/>
        <w:jc w:val="both"/>
        <w:rPr>
          <w:rFonts w:ascii="Aptos" w:hAnsi="Aptos" w:cs="Calibri"/>
        </w:rPr>
      </w:pPr>
      <w:r w:rsidRPr="00182622">
        <w:rPr>
          <w:rFonts w:ascii="Aptos" w:hAnsi="Aptos" w:cs="Calibri"/>
        </w:rPr>
        <w:t>Les principales mesures au titre de cet axe concernent notamment la formation des responsables nationaux et régionaux à la gestion environnementale et sociale, sur la base du MTGES.</w:t>
      </w:r>
    </w:p>
    <w:p w14:paraId="330DFCC1" w14:textId="194FA597" w:rsidR="00C84E80" w:rsidRPr="00182622" w:rsidRDefault="00C84E80" w:rsidP="008B048C">
      <w:pPr>
        <w:pStyle w:val="ListParagraph"/>
        <w:numPr>
          <w:ilvl w:val="0"/>
          <w:numId w:val="37"/>
        </w:numPr>
        <w:ind w:left="714" w:hanging="357"/>
        <w:contextualSpacing w:val="0"/>
        <w:jc w:val="both"/>
        <w:rPr>
          <w:rFonts w:ascii="Aptos" w:hAnsi="Aptos" w:cs="Calibri"/>
        </w:rPr>
      </w:pPr>
      <w:r w:rsidRPr="00182622">
        <w:rPr>
          <w:rFonts w:ascii="Aptos" w:hAnsi="Aptos" w:cs="Calibri"/>
        </w:rPr>
        <w:t>Le plan de formation devra inclure un module destiné aux entités chargées de la passation des marchés afin de les sensibiliser aux procédures de gestion environnementale des chantiers ainsi qu’aux outils de suivi du MTGES.</w:t>
      </w:r>
    </w:p>
    <w:p w14:paraId="3AA64657" w14:textId="5C8BEC04" w:rsidR="00C84E80" w:rsidRPr="00D401FA" w:rsidRDefault="00195772" w:rsidP="00216CAF">
      <w:pPr>
        <w:jc w:val="both"/>
        <w:rPr>
          <w:rFonts w:ascii="Aptos" w:hAnsi="Aptos" w:cs="Calibri"/>
        </w:rPr>
      </w:pPr>
      <w:r w:rsidRPr="00195772">
        <w:rPr>
          <w:rFonts w:ascii="Aptos" w:hAnsi="Aptos" w:cs="Calibri"/>
        </w:rPr>
        <w:t xml:space="preserve">En ce qui concerne le </w:t>
      </w:r>
      <w:proofErr w:type="spellStart"/>
      <w:r w:rsidRPr="00195772">
        <w:rPr>
          <w:rFonts w:ascii="Aptos" w:hAnsi="Aptos" w:cs="Calibri"/>
        </w:rPr>
        <w:t>r</w:t>
      </w:r>
      <w:r w:rsidR="00C84E80" w:rsidRPr="00195772">
        <w:rPr>
          <w:rFonts w:ascii="Aptos" w:hAnsi="Aptos" w:cs="Calibri"/>
        </w:rPr>
        <w:t>eporting</w:t>
      </w:r>
      <w:proofErr w:type="spellEnd"/>
      <w:r w:rsidR="00C84E80" w:rsidRPr="00195772">
        <w:rPr>
          <w:rFonts w:ascii="Aptos" w:hAnsi="Aptos" w:cs="Calibri"/>
        </w:rPr>
        <w:t xml:space="preserve"> environnemental et social</w:t>
      </w:r>
      <w:r w:rsidRPr="00195772">
        <w:rPr>
          <w:rFonts w:ascii="Aptos" w:hAnsi="Aptos" w:cs="Calibri"/>
        </w:rPr>
        <w:t>, u</w:t>
      </w:r>
      <w:r w:rsidR="00C84E80" w:rsidRPr="00195772">
        <w:rPr>
          <w:rFonts w:ascii="Aptos" w:hAnsi="Aptos" w:cs="Calibri"/>
        </w:rPr>
        <w:t>ne</w:t>
      </w:r>
      <w:r w:rsidR="00C84E80" w:rsidRPr="00D401FA">
        <w:rPr>
          <w:rFonts w:ascii="Aptos" w:hAnsi="Aptos" w:cs="Calibri"/>
        </w:rPr>
        <w:t xml:space="preserve"> fois renseignées par les entreprises, puis par les missions de contrôle, les fiches de suivi du MTGES seront vérifiées et validées par l’UCP, puis consolidées par les points focaux environnement et social d’IQRAA avant leur intégration dans le système d’information et de suivi-évaluation. Les rapports de suivi incluront en priorité le suivi de la mise en œuvre des mesures d’atténuation environnementales et sociales pour chaque sous-projet approuvé et réalisé.</w:t>
      </w:r>
    </w:p>
    <w:p w14:paraId="2AAAED7A" w14:textId="77777777" w:rsidR="00E03792" w:rsidRDefault="00E03792">
      <w:pPr>
        <w:rPr>
          <w:rFonts w:ascii="Aptos" w:hAnsi="Aptos" w:cs="Calibri"/>
          <w:b/>
          <w:bCs/>
        </w:rPr>
      </w:pPr>
      <w:r>
        <w:rPr>
          <w:rFonts w:ascii="Aptos" w:hAnsi="Aptos" w:cs="Calibri"/>
          <w:b/>
          <w:bCs/>
        </w:rPr>
        <w:br w:type="page"/>
      </w:r>
    </w:p>
    <w:p w14:paraId="17E5435C" w14:textId="178D31BA" w:rsidR="00C84E80" w:rsidRPr="00195772" w:rsidRDefault="00195772" w:rsidP="00216CAF">
      <w:pPr>
        <w:jc w:val="both"/>
        <w:rPr>
          <w:rFonts w:ascii="Aptos" w:hAnsi="Aptos" w:cs="Calibri"/>
          <w:b/>
          <w:bCs/>
        </w:rPr>
      </w:pPr>
      <w:r w:rsidRPr="00195772">
        <w:rPr>
          <w:rFonts w:ascii="Aptos" w:hAnsi="Aptos" w:cs="Calibri"/>
          <w:b/>
          <w:bCs/>
        </w:rPr>
        <w:t>T</w:t>
      </w:r>
      <w:r w:rsidR="00C84E80" w:rsidRPr="00195772">
        <w:rPr>
          <w:rFonts w:ascii="Aptos" w:hAnsi="Aptos" w:cs="Calibri"/>
          <w:b/>
          <w:bCs/>
        </w:rPr>
        <w:t>ableau 7</w:t>
      </w:r>
      <w:r w:rsidRPr="00195772">
        <w:rPr>
          <w:rFonts w:ascii="Aptos" w:hAnsi="Aptos" w:cs="Calibri"/>
          <w:b/>
          <w:bCs/>
        </w:rPr>
        <w:t xml:space="preserve"> : </w:t>
      </w:r>
      <w:r w:rsidR="00E03792">
        <w:rPr>
          <w:rFonts w:ascii="Aptos" w:hAnsi="Aptos" w:cs="Calibri"/>
          <w:b/>
          <w:bCs/>
        </w:rPr>
        <w:t>R</w:t>
      </w:r>
      <w:r w:rsidR="00C84E80" w:rsidRPr="00195772">
        <w:rPr>
          <w:rFonts w:ascii="Aptos" w:hAnsi="Aptos" w:cs="Calibri"/>
          <w:b/>
          <w:bCs/>
        </w:rPr>
        <w:t>ésumé des recommandations</w:t>
      </w: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
        <w:gridCol w:w="1620"/>
        <w:gridCol w:w="90"/>
        <w:gridCol w:w="3510"/>
        <w:gridCol w:w="270"/>
        <w:gridCol w:w="1530"/>
        <w:gridCol w:w="90"/>
        <w:gridCol w:w="1597"/>
        <w:gridCol w:w="23"/>
      </w:tblGrid>
      <w:tr w:rsidR="001C2F1E" w:rsidRPr="00E03792" w14:paraId="34EA8AF0" w14:textId="77777777" w:rsidTr="00E03792">
        <w:trPr>
          <w:gridAfter w:val="1"/>
          <w:wAfter w:w="23" w:type="dxa"/>
        </w:trPr>
        <w:tc>
          <w:tcPr>
            <w:tcW w:w="653" w:type="dxa"/>
            <w:gridSpan w:val="2"/>
            <w:tcBorders>
              <w:top w:val="single" w:sz="4" w:space="0" w:color="auto"/>
              <w:left w:val="single" w:sz="4" w:space="0" w:color="auto"/>
              <w:bottom w:val="single" w:sz="4" w:space="0" w:color="auto"/>
              <w:right w:val="single" w:sz="4" w:space="0" w:color="auto"/>
            </w:tcBorders>
          </w:tcPr>
          <w:p w14:paraId="76788169" w14:textId="77777777" w:rsidR="001C2F1E" w:rsidRPr="00E03792" w:rsidRDefault="001C2F1E" w:rsidP="00E03792">
            <w:pPr>
              <w:spacing w:after="120" w:line="240" w:lineRule="auto"/>
              <w:rPr>
                <w:rFonts w:ascii="Aptos" w:hAnsi="Aptos"/>
                <w:b/>
                <w:color w:val="000000"/>
                <w:sz w:val="20"/>
                <w:szCs w:val="20"/>
              </w:rPr>
            </w:pPr>
            <w:r w:rsidRPr="00E03792">
              <w:rPr>
                <w:rFonts w:ascii="Aptos" w:hAnsi="Aptos" w:cs="Calibri"/>
                <w:b/>
                <w:bCs/>
                <w:sz w:val="20"/>
                <w:szCs w:val="20"/>
              </w:rPr>
              <w:t>N°</w:t>
            </w:r>
          </w:p>
        </w:tc>
        <w:tc>
          <w:tcPr>
            <w:tcW w:w="1710" w:type="dxa"/>
            <w:gridSpan w:val="2"/>
            <w:tcBorders>
              <w:top w:val="single" w:sz="4" w:space="0" w:color="auto"/>
              <w:left w:val="single" w:sz="4" w:space="0" w:color="auto"/>
              <w:bottom w:val="single" w:sz="4" w:space="0" w:color="auto"/>
              <w:right w:val="single" w:sz="4" w:space="0" w:color="auto"/>
            </w:tcBorders>
          </w:tcPr>
          <w:p w14:paraId="080984F8" w14:textId="77777777" w:rsidR="001C2F1E" w:rsidRPr="00E03792" w:rsidRDefault="001C2F1E" w:rsidP="00E03792">
            <w:pPr>
              <w:spacing w:after="120" w:line="240" w:lineRule="auto"/>
              <w:rPr>
                <w:rFonts w:ascii="Aptos" w:hAnsi="Aptos"/>
                <w:b/>
                <w:color w:val="000000"/>
                <w:sz w:val="20"/>
                <w:szCs w:val="20"/>
              </w:rPr>
            </w:pPr>
            <w:r w:rsidRPr="00E03792">
              <w:rPr>
                <w:rFonts w:ascii="Aptos" w:hAnsi="Aptos" w:cs="Calibri"/>
                <w:b/>
                <w:bCs/>
                <w:sz w:val="20"/>
                <w:szCs w:val="20"/>
              </w:rPr>
              <w:t>Mesure</w:t>
            </w:r>
          </w:p>
        </w:tc>
        <w:tc>
          <w:tcPr>
            <w:tcW w:w="3510" w:type="dxa"/>
            <w:tcBorders>
              <w:top w:val="single" w:sz="4" w:space="0" w:color="auto"/>
              <w:left w:val="single" w:sz="4" w:space="0" w:color="auto"/>
              <w:bottom w:val="single" w:sz="4" w:space="0" w:color="auto"/>
              <w:right w:val="single" w:sz="4" w:space="0" w:color="auto"/>
            </w:tcBorders>
          </w:tcPr>
          <w:p w14:paraId="703EE041" w14:textId="77777777" w:rsidR="001C2F1E" w:rsidRPr="00E03792" w:rsidRDefault="001C2F1E" w:rsidP="00E03792">
            <w:pPr>
              <w:spacing w:after="120" w:line="240" w:lineRule="auto"/>
              <w:rPr>
                <w:rFonts w:ascii="Aptos" w:hAnsi="Aptos"/>
                <w:b/>
                <w:color w:val="000000"/>
                <w:sz w:val="20"/>
                <w:szCs w:val="20"/>
              </w:rPr>
            </w:pPr>
            <w:r w:rsidRPr="00E03792">
              <w:rPr>
                <w:rFonts w:ascii="Aptos" w:hAnsi="Aptos" w:cs="Calibri"/>
                <w:b/>
                <w:bCs/>
                <w:sz w:val="20"/>
                <w:szCs w:val="20"/>
              </w:rPr>
              <w:t>Activités</w:t>
            </w:r>
          </w:p>
        </w:tc>
        <w:tc>
          <w:tcPr>
            <w:tcW w:w="1800" w:type="dxa"/>
            <w:gridSpan w:val="2"/>
            <w:tcBorders>
              <w:top w:val="single" w:sz="4" w:space="0" w:color="auto"/>
              <w:left w:val="single" w:sz="4" w:space="0" w:color="auto"/>
              <w:bottom w:val="single" w:sz="4" w:space="0" w:color="auto"/>
              <w:right w:val="single" w:sz="4" w:space="0" w:color="auto"/>
            </w:tcBorders>
          </w:tcPr>
          <w:p w14:paraId="372E065D" w14:textId="77777777" w:rsidR="001C2F1E" w:rsidRPr="00E03792" w:rsidRDefault="001C2F1E" w:rsidP="00E03792">
            <w:pPr>
              <w:spacing w:after="120" w:line="240" w:lineRule="auto"/>
              <w:ind w:left="-106" w:right="-116"/>
              <w:rPr>
                <w:rFonts w:ascii="Aptos" w:hAnsi="Aptos"/>
                <w:b/>
                <w:color w:val="000000"/>
                <w:sz w:val="20"/>
                <w:szCs w:val="20"/>
              </w:rPr>
            </w:pPr>
            <w:r w:rsidRPr="00E03792">
              <w:rPr>
                <w:rFonts w:ascii="Aptos" w:hAnsi="Aptos" w:cs="Calibri"/>
                <w:b/>
                <w:bCs/>
                <w:sz w:val="20"/>
                <w:szCs w:val="20"/>
              </w:rPr>
              <w:t>Entité responsable</w:t>
            </w:r>
          </w:p>
        </w:tc>
        <w:tc>
          <w:tcPr>
            <w:tcW w:w="1687" w:type="dxa"/>
            <w:gridSpan w:val="2"/>
            <w:tcBorders>
              <w:top w:val="single" w:sz="4" w:space="0" w:color="auto"/>
              <w:left w:val="single" w:sz="4" w:space="0" w:color="auto"/>
              <w:bottom w:val="single" w:sz="4" w:space="0" w:color="auto"/>
              <w:right w:val="single" w:sz="4" w:space="0" w:color="auto"/>
            </w:tcBorders>
          </w:tcPr>
          <w:p w14:paraId="7BB6F539" w14:textId="77777777" w:rsidR="001C2F1E" w:rsidRPr="00E03792" w:rsidRDefault="001C2F1E" w:rsidP="00E03792">
            <w:pPr>
              <w:spacing w:after="120" w:line="240" w:lineRule="auto"/>
              <w:rPr>
                <w:rFonts w:ascii="Aptos" w:hAnsi="Aptos"/>
                <w:b/>
                <w:color w:val="000000"/>
                <w:sz w:val="20"/>
                <w:szCs w:val="20"/>
              </w:rPr>
            </w:pPr>
            <w:r w:rsidRPr="00E03792">
              <w:rPr>
                <w:rFonts w:ascii="Aptos" w:hAnsi="Aptos" w:cs="Calibri"/>
                <w:b/>
                <w:bCs/>
                <w:sz w:val="20"/>
                <w:szCs w:val="20"/>
              </w:rPr>
              <w:t>Calendrier</w:t>
            </w:r>
          </w:p>
        </w:tc>
      </w:tr>
      <w:tr w:rsidR="001C2F1E" w:rsidRPr="00D401FA" w14:paraId="6190CAFA" w14:textId="77777777" w:rsidTr="00E03792">
        <w:tc>
          <w:tcPr>
            <w:tcW w:w="9383" w:type="dxa"/>
            <w:gridSpan w:val="10"/>
            <w:shd w:val="clear" w:color="auto" w:fill="D9D9D9"/>
          </w:tcPr>
          <w:p w14:paraId="24E0DD26" w14:textId="77777777" w:rsidR="001C2F1E" w:rsidRPr="00E03792" w:rsidRDefault="001C2F1E" w:rsidP="00E03792">
            <w:pPr>
              <w:spacing w:before="120" w:after="120" w:line="240" w:lineRule="auto"/>
              <w:ind w:left="-144"/>
              <w:rPr>
                <w:rFonts w:ascii="Aptos" w:hAnsi="Aptos" w:cs="Calibri"/>
                <w:b/>
                <w:color w:val="000000"/>
                <w:sz w:val="20"/>
                <w:szCs w:val="20"/>
              </w:rPr>
            </w:pPr>
            <w:r w:rsidRPr="00E03792">
              <w:rPr>
                <w:rFonts w:ascii="Aptos" w:hAnsi="Aptos" w:cs="Calibri"/>
                <w:b/>
                <w:color w:val="000000"/>
                <w:sz w:val="20"/>
                <w:szCs w:val="20"/>
              </w:rPr>
              <w:t xml:space="preserve">       </w:t>
            </w:r>
            <w:r w:rsidRPr="00E03792">
              <w:rPr>
                <w:rFonts w:ascii="Aptos" w:hAnsi="Aptos" w:cs="Calibri"/>
                <w:b/>
                <w:bCs/>
                <w:sz w:val="20"/>
                <w:szCs w:val="20"/>
              </w:rPr>
              <w:t>1. RENFORCEMENT DU SYSTÈME DE GESTION ENVIRONNEMENTALE ET SOCIALE</w:t>
            </w:r>
          </w:p>
        </w:tc>
      </w:tr>
      <w:tr w:rsidR="001C2F1E" w:rsidRPr="00D401FA" w14:paraId="5002086F" w14:textId="77777777" w:rsidTr="00E03792">
        <w:trPr>
          <w:trHeight w:val="458"/>
        </w:trPr>
        <w:tc>
          <w:tcPr>
            <w:tcW w:w="567" w:type="dxa"/>
          </w:tcPr>
          <w:p w14:paraId="0AC7C04D" w14:textId="77777777" w:rsidR="001C2F1E" w:rsidRPr="00E03792" w:rsidRDefault="001C2F1E" w:rsidP="00E03792">
            <w:pPr>
              <w:spacing w:after="120" w:line="240" w:lineRule="auto"/>
              <w:rPr>
                <w:rFonts w:ascii="Aptos" w:hAnsi="Aptos" w:cs="Calibri"/>
                <w:color w:val="000000"/>
                <w:sz w:val="20"/>
                <w:szCs w:val="20"/>
              </w:rPr>
            </w:pPr>
            <w:r w:rsidRPr="00E03792">
              <w:rPr>
                <w:rFonts w:ascii="Aptos" w:hAnsi="Aptos" w:cs="Calibri"/>
                <w:sz w:val="20"/>
                <w:szCs w:val="20"/>
              </w:rPr>
              <w:t>1.1</w:t>
            </w:r>
          </w:p>
        </w:tc>
        <w:tc>
          <w:tcPr>
            <w:tcW w:w="1706" w:type="dxa"/>
            <w:gridSpan w:val="2"/>
          </w:tcPr>
          <w:p w14:paraId="2C28F788" w14:textId="77777777" w:rsidR="001C2F1E" w:rsidRPr="00E03792" w:rsidRDefault="001C2F1E" w:rsidP="00E03792">
            <w:pPr>
              <w:spacing w:after="0" w:line="240" w:lineRule="auto"/>
              <w:rPr>
                <w:rFonts w:ascii="Aptos" w:hAnsi="Aptos" w:cs="Calibri"/>
                <w:b/>
                <w:bCs/>
                <w:color w:val="000000"/>
                <w:sz w:val="20"/>
                <w:szCs w:val="20"/>
              </w:rPr>
            </w:pPr>
            <w:r w:rsidRPr="00E03792">
              <w:rPr>
                <w:rFonts w:ascii="Aptos" w:hAnsi="Aptos" w:cs="Calibri"/>
                <w:b/>
                <w:bCs/>
                <w:sz w:val="20"/>
                <w:szCs w:val="20"/>
              </w:rPr>
              <w:t>Manuel technique de gestion environnementale et sociale d’IQRAA</w:t>
            </w:r>
          </w:p>
        </w:tc>
        <w:tc>
          <w:tcPr>
            <w:tcW w:w="3870" w:type="dxa"/>
            <w:gridSpan w:val="3"/>
          </w:tcPr>
          <w:p w14:paraId="3037203C" w14:textId="77777777" w:rsidR="00E03792" w:rsidRPr="00E03792" w:rsidRDefault="001C2F1E" w:rsidP="00E03792">
            <w:pPr>
              <w:spacing w:after="0" w:line="240" w:lineRule="auto"/>
              <w:rPr>
                <w:rFonts w:ascii="Aptos" w:hAnsi="Aptos" w:cs="Calibri"/>
                <w:sz w:val="20"/>
                <w:szCs w:val="20"/>
              </w:rPr>
            </w:pPr>
            <w:r w:rsidRPr="00E03792">
              <w:rPr>
                <w:rFonts w:ascii="Aptos" w:hAnsi="Aptos" w:cs="Calibri"/>
                <w:sz w:val="20"/>
                <w:szCs w:val="20"/>
              </w:rPr>
              <w:t xml:space="preserve">(i) Élaboration des </w:t>
            </w:r>
            <w:r w:rsidR="00E03792" w:rsidRPr="00E03792">
              <w:rPr>
                <w:rFonts w:ascii="Aptos" w:hAnsi="Aptos" w:cs="Calibri"/>
                <w:sz w:val="20"/>
                <w:szCs w:val="20"/>
              </w:rPr>
              <w:t xml:space="preserve">termes de référence </w:t>
            </w:r>
            <w:r w:rsidRPr="00E03792">
              <w:rPr>
                <w:rFonts w:ascii="Aptos" w:hAnsi="Aptos" w:cs="Calibri"/>
                <w:sz w:val="20"/>
                <w:szCs w:val="20"/>
              </w:rPr>
              <w:t>pour le bureau d’études/consultant chargé de préparer le Manuel</w:t>
            </w:r>
          </w:p>
          <w:p w14:paraId="0A1BFC6B" w14:textId="77777777" w:rsidR="00E03792" w:rsidRPr="00E03792" w:rsidRDefault="001C2F1E" w:rsidP="00E03792">
            <w:pPr>
              <w:spacing w:after="0" w:line="240" w:lineRule="auto"/>
              <w:rPr>
                <w:rFonts w:ascii="Aptos" w:hAnsi="Aptos" w:cs="Calibri"/>
                <w:sz w:val="20"/>
                <w:szCs w:val="20"/>
              </w:rPr>
            </w:pPr>
            <w:r w:rsidRPr="00E03792">
              <w:rPr>
                <w:rFonts w:ascii="Aptos" w:hAnsi="Aptos" w:cs="Calibri"/>
                <w:sz w:val="20"/>
                <w:szCs w:val="20"/>
              </w:rPr>
              <w:t>(ii) Élaboration d’un Manuel destiné aux entités d’exécution et à leurs services techniques, intégré au Manuel des opérations d’IQRAA</w:t>
            </w:r>
          </w:p>
          <w:p w14:paraId="3AACE0AB" w14:textId="176EA0D0"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(iii) Organisation d’un atelier de validation du Manuel technique</w:t>
            </w:r>
          </w:p>
        </w:tc>
        <w:tc>
          <w:tcPr>
            <w:tcW w:w="1620" w:type="dxa"/>
            <w:gridSpan w:val="2"/>
          </w:tcPr>
          <w:p w14:paraId="57EFB38D" w14:textId="77777777" w:rsidR="00E03792" w:rsidRPr="00BC7047" w:rsidRDefault="001C2F1E" w:rsidP="00E03792">
            <w:pPr>
              <w:spacing w:after="0" w:line="240" w:lineRule="auto"/>
              <w:rPr>
                <w:rFonts w:ascii="Aptos" w:hAnsi="Aptos" w:cs="Calibri"/>
                <w:sz w:val="20"/>
                <w:szCs w:val="20"/>
                <w:lang w:val="en-US"/>
              </w:rPr>
            </w:pPr>
            <w:r w:rsidRPr="00BC7047">
              <w:rPr>
                <w:rFonts w:ascii="Aptos" w:hAnsi="Aptos" w:cs="Calibri"/>
                <w:sz w:val="20"/>
                <w:szCs w:val="20"/>
                <w:lang w:val="en-US"/>
              </w:rPr>
              <w:t>UCP/DECE</w:t>
            </w:r>
          </w:p>
          <w:p w14:paraId="1314D9B1" w14:textId="77777777" w:rsidR="00E03792" w:rsidRPr="00BC7047" w:rsidRDefault="00E03792" w:rsidP="00E03792">
            <w:pPr>
              <w:spacing w:after="0" w:line="240" w:lineRule="auto"/>
              <w:rPr>
                <w:rFonts w:ascii="Aptos" w:hAnsi="Aptos" w:cs="Calibri"/>
                <w:sz w:val="20"/>
                <w:szCs w:val="20"/>
                <w:lang w:val="en-US"/>
              </w:rPr>
            </w:pPr>
          </w:p>
          <w:p w14:paraId="12BB6B3A" w14:textId="77777777" w:rsidR="00E03792" w:rsidRPr="00BC7047" w:rsidRDefault="00E03792" w:rsidP="00E03792">
            <w:pPr>
              <w:spacing w:after="0" w:line="240" w:lineRule="auto"/>
              <w:rPr>
                <w:rFonts w:ascii="Aptos" w:hAnsi="Aptos" w:cs="Calibri"/>
                <w:sz w:val="20"/>
                <w:szCs w:val="20"/>
                <w:lang w:val="en-US"/>
              </w:rPr>
            </w:pPr>
          </w:p>
          <w:p w14:paraId="0569B49B" w14:textId="77777777" w:rsidR="00E03792" w:rsidRPr="00BC7047" w:rsidRDefault="00E03792" w:rsidP="00E03792">
            <w:pPr>
              <w:spacing w:after="0" w:line="240" w:lineRule="auto"/>
              <w:rPr>
                <w:rFonts w:ascii="Aptos" w:hAnsi="Aptos" w:cs="Calibri"/>
                <w:sz w:val="20"/>
                <w:szCs w:val="20"/>
                <w:lang w:val="en-US"/>
              </w:rPr>
            </w:pPr>
          </w:p>
          <w:p w14:paraId="633F9291" w14:textId="77777777" w:rsidR="00E03792" w:rsidRPr="00BC7047" w:rsidRDefault="00E03792" w:rsidP="00E03792">
            <w:pPr>
              <w:spacing w:after="0" w:line="240" w:lineRule="auto"/>
              <w:rPr>
                <w:rFonts w:ascii="Aptos" w:hAnsi="Aptos" w:cs="Calibri"/>
                <w:sz w:val="20"/>
                <w:szCs w:val="20"/>
                <w:lang w:val="en-US"/>
              </w:rPr>
            </w:pPr>
          </w:p>
          <w:p w14:paraId="66ABCDF6" w14:textId="77777777" w:rsidR="00E03792" w:rsidRPr="00BC7047" w:rsidRDefault="00E03792" w:rsidP="00E03792">
            <w:pPr>
              <w:spacing w:after="0" w:line="240" w:lineRule="auto"/>
              <w:rPr>
                <w:rFonts w:ascii="Aptos" w:hAnsi="Aptos" w:cs="Calibri"/>
                <w:sz w:val="20"/>
                <w:szCs w:val="20"/>
                <w:lang w:val="en-US"/>
              </w:rPr>
            </w:pPr>
          </w:p>
          <w:p w14:paraId="1533C5CF" w14:textId="6EAF58D4" w:rsidR="001C2F1E" w:rsidRPr="00BC7047" w:rsidRDefault="001C2F1E" w:rsidP="00E03792">
            <w:pPr>
              <w:spacing w:after="0" w:line="240" w:lineRule="auto"/>
              <w:rPr>
                <w:rFonts w:ascii="Aptos" w:hAnsi="Aptos" w:cs="Calibri"/>
                <w:color w:val="000000"/>
                <w:sz w:val="20"/>
                <w:szCs w:val="20"/>
                <w:lang w:val="en-US"/>
              </w:rPr>
            </w:pPr>
            <w:r w:rsidRPr="00BC7047">
              <w:rPr>
                <w:rFonts w:ascii="Aptos" w:hAnsi="Aptos" w:cs="Calibri"/>
                <w:sz w:val="20"/>
                <w:szCs w:val="20"/>
                <w:lang w:val="en-US"/>
              </w:rPr>
              <w:t>MEF, MERSE, DECE</w:t>
            </w:r>
          </w:p>
        </w:tc>
        <w:tc>
          <w:tcPr>
            <w:tcW w:w="1620" w:type="dxa"/>
            <w:gridSpan w:val="2"/>
          </w:tcPr>
          <w:p w14:paraId="48951E39" w14:textId="13F13A6F" w:rsidR="00182622" w:rsidRPr="00E03792" w:rsidRDefault="001C2F1E" w:rsidP="00E03792">
            <w:pPr>
              <w:spacing w:after="0" w:line="240" w:lineRule="auto"/>
              <w:rPr>
                <w:rFonts w:ascii="Aptos" w:hAnsi="Aptos" w:cs="Calibri"/>
                <w:sz w:val="20"/>
                <w:szCs w:val="20"/>
              </w:rPr>
            </w:pPr>
            <w:r w:rsidRPr="00E03792">
              <w:rPr>
                <w:rFonts w:ascii="Aptos" w:hAnsi="Aptos" w:cs="Calibri"/>
                <w:sz w:val="20"/>
                <w:szCs w:val="20"/>
              </w:rPr>
              <w:t>Avant l’approbation du Consei</w:t>
            </w:r>
            <w:r w:rsidR="00182622" w:rsidRPr="00E03792">
              <w:rPr>
                <w:rFonts w:ascii="Aptos" w:hAnsi="Aptos" w:cs="Calibri"/>
                <w:sz w:val="20"/>
                <w:szCs w:val="20"/>
              </w:rPr>
              <w:t>l</w:t>
            </w:r>
          </w:p>
          <w:p w14:paraId="7E3846D3" w14:textId="1BB543A8"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Au cours du premier semestre suivant la mise en œuvre du Programme</w:t>
            </w:r>
          </w:p>
        </w:tc>
      </w:tr>
      <w:tr w:rsidR="001C2F1E" w:rsidRPr="00D401FA" w14:paraId="010F90EE" w14:textId="77777777" w:rsidTr="00E03792">
        <w:tc>
          <w:tcPr>
            <w:tcW w:w="567" w:type="dxa"/>
          </w:tcPr>
          <w:p w14:paraId="790A66DC" w14:textId="77777777" w:rsidR="001C2F1E" w:rsidRPr="00E03792" w:rsidRDefault="001C2F1E" w:rsidP="00E03792">
            <w:pPr>
              <w:spacing w:after="120" w:line="240" w:lineRule="auto"/>
              <w:rPr>
                <w:rFonts w:ascii="Aptos" w:hAnsi="Aptos" w:cs="Calibri"/>
                <w:color w:val="000000"/>
                <w:sz w:val="20"/>
                <w:szCs w:val="20"/>
              </w:rPr>
            </w:pPr>
            <w:r w:rsidRPr="00E03792">
              <w:rPr>
                <w:rFonts w:ascii="Aptos" w:hAnsi="Aptos" w:cs="Calibri"/>
                <w:sz w:val="20"/>
                <w:szCs w:val="20"/>
              </w:rPr>
              <w:t>1.2</w:t>
            </w:r>
          </w:p>
        </w:tc>
        <w:tc>
          <w:tcPr>
            <w:tcW w:w="1706" w:type="dxa"/>
            <w:gridSpan w:val="2"/>
          </w:tcPr>
          <w:p w14:paraId="1F18EC47" w14:textId="68094C87" w:rsidR="001C2F1E" w:rsidRPr="00E03792" w:rsidRDefault="001C2F1E" w:rsidP="00E03792">
            <w:pPr>
              <w:spacing w:after="0" w:line="240" w:lineRule="auto"/>
              <w:rPr>
                <w:rFonts w:ascii="Aptos" w:hAnsi="Aptos" w:cs="Calibri"/>
                <w:b/>
                <w:bCs/>
                <w:color w:val="000000"/>
                <w:sz w:val="20"/>
                <w:szCs w:val="20"/>
              </w:rPr>
            </w:pPr>
            <w:r w:rsidRPr="00E03792">
              <w:rPr>
                <w:rFonts w:ascii="Aptos" w:hAnsi="Aptos" w:cs="Calibri"/>
                <w:b/>
                <w:bCs/>
                <w:sz w:val="20"/>
                <w:szCs w:val="20"/>
              </w:rPr>
              <w:t xml:space="preserve">Points focaux </w:t>
            </w:r>
          </w:p>
        </w:tc>
        <w:tc>
          <w:tcPr>
            <w:tcW w:w="3870" w:type="dxa"/>
            <w:gridSpan w:val="3"/>
          </w:tcPr>
          <w:p w14:paraId="1A2D1811"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Désignation de deux points focaux chargés de la gestion environnementale et sociale des investissements d’IQRAA (au sein de l’UCP)</w:t>
            </w:r>
          </w:p>
        </w:tc>
        <w:tc>
          <w:tcPr>
            <w:tcW w:w="1620" w:type="dxa"/>
            <w:gridSpan w:val="2"/>
          </w:tcPr>
          <w:p w14:paraId="4F010776"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UCP</w:t>
            </w:r>
          </w:p>
        </w:tc>
        <w:tc>
          <w:tcPr>
            <w:tcW w:w="1620" w:type="dxa"/>
            <w:gridSpan w:val="2"/>
          </w:tcPr>
          <w:p w14:paraId="54EC3DAE" w14:textId="2225E229" w:rsidR="00182622" w:rsidRPr="00E03792" w:rsidRDefault="001C2F1E" w:rsidP="00E03792">
            <w:pPr>
              <w:spacing w:after="0" w:line="240" w:lineRule="auto"/>
              <w:rPr>
                <w:rFonts w:ascii="Aptos" w:hAnsi="Aptos" w:cs="Calibri"/>
                <w:sz w:val="20"/>
                <w:szCs w:val="20"/>
              </w:rPr>
            </w:pPr>
            <w:proofErr w:type="spellStart"/>
            <w:r w:rsidRPr="00E03792">
              <w:rPr>
                <w:rFonts w:ascii="Aptos" w:hAnsi="Aptos" w:cs="Calibri"/>
                <w:sz w:val="20"/>
                <w:szCs w:val="20"/>
              </w:rPr>
              <w:t>T</w:t>
            </w:r>
            <w:r w:rsidR="00E03792" w:rsidRPr="00E03792">
              <w:rPr>
                <w:rFonts w:ascii="Aptos" w:hAnsi="Aptos" w:cs="Calibri"/>
                <w:sz w:val="20"/>
                <w:szCs w:val="20"/>
              </w:rPr>
              <w:t>d</w:t>
            </w:r>
            <w:r w:rsidRPr="00E03792">
              <w:rPr>
                <w:rFonts w:ascii="Aptos" w:hAnsi="Aptos" w:cs="Calibri"/>
                <w:sz w:val="20"/>
                <w:szCs w:val="20"/>
              </w:rPr>
              <w:t>R</w:t>
            </w:r>
            <w:proofErr w:type="spellEnd"/>
            <w:r w:rsidRPr="00E03792">
              <w:rPr>
                <w:rFonts w:ascii="Aptos" w:hAnsi="Aptos" w:cs="Calibri"/>
                <w:sz w:val="20"/>
                <w:szCs w:val="20"/>
              </w:rPr>
              <w:t xml:space="preserve"> disponibles avant les négociations</w:t>
            </w:r>
          </w:p>
          <w:p w14:paraId="7588180D" w14:textId="285B62DB"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Au début de la mise en œuvre du Programme</w:t>
            </w:r>
          </w:p>
        </w:tc>
      </w:tr>
      <w:tr w:rsidR="001C2F1E" w:rsidRPr="00D401FA" w14:paraId="4DD7C2D1" w14:textId="77777777" w:rsidTr="00E03792">
        <w:tc>
          <w:tcPr>
            <w:tcW w:w="567" w:type="dxa"/>
          </w:tcPr>
          <w:p w14:paraId="4D37A4A5" w14:textId="77777777" w:rsidR="001C2F1E" w:rsidRPr="00E03792" w:rsidRDefault="001C2F1E" w:rsidP="00E03792">
            <w:pPr>
              <w:spacing w:after="120" w:line="240" w:lineRule="auto"/>
              <w:rPr>
                <w:rFonts w:ascii="Aptos" w:hAnsi="Aptos" w:cs="Calibri"/>
                <w:color w:val="000000"/>
                <w:sz w:val="20"/>
                <w:szCs w:val="20"/>
              </w:rPr>
            </w:pPr>
            <w:r w:rsidRPr="00E03792">
              <w:rPr>
                <w:rFonts w:ascii="Aptos" w:hAnsi="Aptos" w:cs="Calibri"/>
                <w:sz w:val="20"/>
                <w:szCs w:val="20"/>
              </w:rPr>
              <w:t>1.3</w:t>
            </w:r>
          </w:p>
        </w:tc>
        <w:tc>
          <w:tcPr>
            <w:tcW w:w="1706" w:type="dxa"/>
            <w:gridSpan w:val="2"/>
          </w:tcPr>
          <w:p w14:paraId="6AB431E5" w14:textId="77777777" w:rsidR="001C2F1E" w:rsidRPr="00E03792" w:rsidRDefault="001C2F1E" w:rsidP="00E03792">
            <w:pPr>
              <w:spacing w:after="0" w:line="240" w:lineRule="auto"/>
              <w:rPr>
                <w:rFonts w:ascii="Aptos" w:hAnsi="Aptos" w:cs="Calibri"/>
                <w:b/>
                <w:bCs/>
                <w:color w:val="000000"/>
                <w:sz w:val="20"/>
                <w:szCs w:val="20"/>
              </w:rPr>
            </w:pPr>
            <w:r w:rsidRPr="00E03792">
              <w:rPr>
                <w:rFonts w:ascii="Aptos" w:hAnsi="Aptos" w:cs="Calibri"/>
                <w:b/>
                <w:bCs/>
                <w:sz w:val="20"/>
                <w:szCs w:val="20"/>
              </w:rPr>
              <w:t>Traitement des plaintes</w:t>
            </w:r>
          </w:p>
        </w:tc>
        <w:tc>
          <w:tcPr>
            <w:tcW w:w="3870" w:type="dxa"/>
            <w:gridSpan w:val="3"/>
          </w:tcPr>
          <w:p w14:paraId="1DEB0F56"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Mise en place d’un mécanisme simple et efficace de traitement des plaintes, diffusion des informations sur le dispositif et définition d’un système de suivi des plaintes</w:t>
            </w:r>
          </w:p>
        </w:tc>
        <w:tc>
          <w:tcPr>
            <w:tcW w:w="1620" w:type="dxa"/>
            <w:gridSpan w:val="2"/>
          </w:tcPr>
          <w:p w14:paraId="5DB8145B"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Chaque collectivité de mise en œuvre (TG), avec l’appui de l’UCP</w:t>
            </w:r>
          </w:p>
        </w:tc>
        <w:tc>
          <w:tcPr>
            <w:tcW w:w="1620" w:type="dxa"/>
            <w:gridSpan w:val="2"/>
          </w:tcPr>
          <w:p w14:paraId="79F1D726"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Au cours du troisième trimestre suivant la mise en œuvre du Programme</w:t>
            </w:r>
          </w:p>
        </w:tc>
      </w:tr>
      <w:tr w:rsidR="001C2F1E" w:rsidRPr="00D401FA" w14:paraId="31EF9AF4" w14:textId="77777777" w:rsidTr="00E03792">
        <w:trPr>
          <w:trHeight w:val="548"/>
        </w:trPr>
        <w:tc>
          <w:tcPr>
            <w:tcW w:w="9383" w:type="dxa"/>
            <w:gridSpan w:val="10"/>
            <w:shd w:val="clear" w:color="auto" w:fill="D9D9D9"/>
          </w:tcPr>
          <w:p w14:paraId="6959A90F" w14:textId="77777777" w:rsidR="001C2F1E" w:rsidRPr="00E03792" w:rsidRDefault="001C2F1E" w:rsidP="00E03792">
            <w:pPr>
              <w:spacing w:after="0" w:line="240" w:lineRule="auto"/>
              <w:rPr>
                <w:rFonts w:ascii="Aptos" w:hAnsi="Aptos" w:cs="Calibri"/>
                <w:b/>
                <w:color w:val="000000"/>
                <w:sz w:val="20"/>
                <w:szCs w:val="20"/>
                <w:highlight w:val="yellow"/>
              </w:rPr>
            </w:pPr>
          </w:p>
          <w:p w14:paraId="2FB79C30" w14:textId="0DD744C2" w:rsidR="001C2F1E" w:rsidRPr="00E03792" w:rsidRDefault="001C2F1E" w:rsidP="00E03792">
            <w:pPr>
              <w:spacing w:after="0" w:line="240" w:lineRule="auto"/>
              <w:rPr>
                <w:rFonts w:ascii="Aptos" w:hAnsi="Aptos" w:cs="Calibri"/>
                <w:color w:val="000000"/>
                <w:sz w:val="20"/>
                <w:szCs w:val="20"/>
                <w:highlight w:val="yellow"/>
              </w:rPr>
            </w:pPr>
            <w:r w:rsidRPr="00E03792">
              <w:rPr>
                <w:rFonts w:ascii="Aptos" w:hAnsi="Aptos" w:cs="Calibri"/>
                <w:b/>
                <w:bCs/>
                <w:sz w:val="20"/>
                <w:szCs w:val="20"/>
              </w:rPr>
              <w:t xml:space="preserve">2. RENFORCEMENT DES CAPACITÉS </w:t>
            </w:r>
            <w:r w:rsidR="00E03792">
              <w:rPr>
                <w:rFonts w:ascii="Aptos" w:hAnsi="Aptos" w:cs="Calibri"/>
                <w:b/>
                <w:bCs/>
                <w:sz w:val="20"/>
                <w:szCs w:val="20"/>
              </w:rPr>
              <w:t xml:space="preserve">DE </w:t>
            </w:r>
            <w:r w:rsidRPr="00E03792">
              <w:rPr>
                <w:rFonts w:ascii="Aptos" w:hAnsi="Aptos" w:cs="Calibri"/>
                <w:b/>
                <w:bCs/>
                <w:sz w:val="20"/>
                <w:szCs w:val="20"/>
              </w:rPr>
              <w:t>GESTION ENVIRONNEMENTALE ET SOCIALE</w:t>
            </w:r>
          </w:p>
        </w:tc>
      </w:tr>
      <w:tr w:rsidR="001C2F1E" w:rsidRPr="00D401FA" w14:paraId="6064E3CB" w14:textId="77777777" w:rsidTr="00E03792">
        <w:trPr>
          <w:trHeight w:val="2033"/>
        </w:trPr>
        <w:tc>
          <w:tcPr>
            <w:tcW w:w="567" w:type="dxa"/>
          </w:tcPr>
          <w:p w14:paraId="50186159"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2.1</w:t>
            </w:r>
          </w:p>
        </w:tc>
        <w:tc>
          <w:tcPr>
            <w:tcW w:w="1706" w:type="dxa"/>
            <w:gridSpan w:val="2"/>
          </w:tcPr>
          <w:p w14:paraId="525B83F3" w14:textId="77777777" w:rsidR="001C2F1E" w:rsidRPr="00E03792" w:rsidRDefault="001C2F1E" w:rsidP="00E03792">
            <w:pPr>
              <w:spacing w:after="0" w:line="240" w:lineRule="auto"/>
              <w:rPr>
                <w:rFonts w:ascii="Aptos" w:hAnsi="Aptos" w:cs="Calibri"/>
                <w:b/>
                <w:bCs/>
                <w:sz w:val="20"/>
                <w:szCs w:val="20"/>
              </w:rPr>
            </w:pPr>
            <w:r w:rsidRPr="00E03792">
              <w:rPr>
                <w:rFonts w:ascii="Aptos" w:hAnsi="Aptos" w:cs="Calibri"/>
                <w:b/>
                <w:bCs/>
                <w:sz w:val="20"/>
                <w:szCs w:val="20"/>
              </w:rPr>
              <w:t>Information et sensibilisation</w:t>
            </w:r>
          </w:p>
        </w:tc>
        <w:tc>
          <w:tcPr>
            <w:tcW w:w="3870" w:type="dxa"/>
            <w:gridSpan w:val="3"/>
          </w:tcPr>
          <w:p w14:paraId="1BE1DB58" w14:textId="38106B34" w:rsidR="001C2F1E" w:rsidRPr="00E03792" w:rsidRDefault="001C2F1E" w:rsidP="00E03792">
            <w:pPr>
              <w:spacing w:after="0" w:line="240" w:lineRule="auto"/>
              <w:rPr>
                <w:rFonts w:ascii="Aptos" w:hAnsi="Aptos" w:cs="Calibri"/>
                <w:sz w:val="20"/>
                <w:szCs w:val="20"/>
              </w:rPr>
            </w:pPr>
            <w:r w:rsidRPr="00E03792">
              <w:rPr>
                <w:rFonts w:ascii="Aptos" w:hAnsi="Aptos" w:cs="Calibri"/>
                <w:sz w:val="20"/>
                <w:szCs w:val="20"/>
              </w:rPr>
              <w:t>Organisation de plusieurs initiatives annuelles de sensibilisation et d’information d’un large public sur les enjeux environnementaux et sociaux des activités du Programme portant sur des ouvrages, et renforcement de l</w:t>
            </w:r>
            <w:r w:rsidR="00E03792" w:rsidRPr="00E03792">
              <w:rPr>
                <w:rFonts w:ascii="Aptos" w:hAnsi="Aptos" w:cs="Calibri"/>
                <w:sz w:val="20"/>
                <w:szCs w:val="20"/>
              </w:rPr>
              <w:t>a mobilisation citoyenne</w:t>
            </w:r>
            <w:r w:rsidRPr="00E03792">
              <w:rPr>
                <w:rFonts w:ascii="Aptos" w:hAnsi="Aptos" w:cs="Calibri"/>
                <w:sz w:val="20"/>
                <w:szCs w:val="20"/>
              </w:rPr>
              <w:t>. Cela inclut notamment la publication et la diffusion des procédures environnementales et sociales des sous-projets ainsi que des décisions relatives aux projets approuvés</w:t>
            </w:r>
          </w:p>
        </w:tc>
        <w:tc>
          <w:tcPr>
            <w:tcW w:w="1620" w:type="dxa"/>
            <w:gridSpan w:val="2"/>
          </w:tcPr>
          <w:p w14:paraId="42A87F2F"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UCP en collaboration avec la DECE</w:t>
            </w:r>
          </w:p>
        </w:tc>
        <w:tc>
          <w:tcPr>
            <w:tcW w:w="1620" w:type="dxa"/>
            <w:gridSpan w:val="2"/>
          </w:tcPr>
          <w:p w14:paraId="5523FB19"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Principalement au cours de la première année du Programme, puis tout au long de sa mise en œuvre</w:t>
            </w:r>
          </w:p>
        </w:tc>
      </w:tr>
      <w:tr w:rsidR="001C2F1E" w:rsidRPr="00D401FA" w14:paraId="30ADAF29" w14:textId="77777777" w:rsidTr="00E03792">
        <w:tc>
          <w:tcPr>
            <w:tcW w:w="567" w:type="dxa"/>
          </w:tcPr>
          <w:p w14:paraId="1983CA4D"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2.2</w:t>
            </w:r>
          </w:p>
        </w:tc>
        <w:tc>
          <w:tcPr>
            <w:tcW w:w="1706" w:type="dxa"/>
            <w:gridSpan w:val="2"/>
          </w:tcPr>
          <w:p w14:paraId="6FF4A07F" w14:textId="77777777" w:rsidR="001C2F1E" w:rsidRPr="00E03792" w:rsidRDefault="001C2F1E" w:rsidP="00E03792">
            <w:pPr>
              <w:spacing w:after="0" w:line="240" w:lineRule="auto"/>
              <w:rPr>
                <w:rFonts w:ascii="Aptos" w:hAnsi="Aptos" w:cs="Calibri"/>
                <w:b/>
                <w:bCs/>
                <w:sz w:val="20"/>
                <w:szCs w:val="20"/>
              </w:rPr>
            </w:pPr>
            <w:r w:rsidRPr="00E03792">
              <w:rPr>
                <w:rFonts w:ascii="Aptos" w:hAnsi="Aptos" w:cs="Calibri"/>
                <w:b/>
                <w:bCs/>
                <w:sz w:val="20"/>
                <w:szCs w:val="20"/>
              </w:rPr>
              <w:t>Formations spécialisées</w:t>
            </w:r>
          </w:p>
        </w:tc>
        <w:tc>
          <w:tcPr>
            <w:tcW w:w="3870" w:type="dxa"/>
            <w:gridSpan w:val="3"/>
          </w:tcPr>
          <w:p w14:paraId="16BE0EA4"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Organisation de sessions de formation spécialisées à l’intention des parties prenantes directement impliquées dans la mise en œuvre des investissements du Programme, sur la base d’un plan de renforcement des capacités à convenir avec la DECE</w:t>
            </w:r>
          </w:p>
        </w:tc>
        <w:tc>
          <w:tcPr>
            <w:tcW w:w="1620" w:type="dxa"/>
            <w:gridSpan w:val="2"/>
          </w:tcPr>
          <w:p w14:paraId="14446FA4" w14:textId="77777777" w:rsidR="001C2F1E" w:rsidRPr="00E03792" w:rsidRDefault="001C2F1E" w:rsidP="00E03792">
            <w:pPr>
              <w:spacing w:after="0" w:line="240" w:lineRule="auto"/>
              <w:rPr>
                <w:rFonts w:ascii="Aptos" w:hAnsi="Aptos" w:cs="Calibri"/>
                <w:color w:val="000000"/>
                <w:sz w:val="20"/>
                <w:szCs w:val="20"/>
                <w:highlight w:val="yellow"/>
              </w:rPr>
            </w:pPr>
            <w:r w:rsidRPr="00E03792">
              <w:rPr>
                <w:rFonts w:ascii="Aptos" w:hAnsi="Aptos" w:cs="Calibri"/>
                <w:sz w:val="20"/>
                <w:szCs w:val="20"/>
              </w:rPr>
              <w:t>UCP et DECE, avec l’appui éventuel d’une assistance technique spécialisée</w:t>
            </w:r>
          </w:p>
        </w:tc>
        <w:tc>
          <w:tcPr>
            <w:tcW w:w="1620" w:type="dxa"/>
            <w:gridSpan w:val="2"/>
          </w:tcPr>
          <w:p w14:paraId="207B93B0" w14:textId="77777777" w:rsidR="001C2F1E" w:rsidRPr="00E03792" w:rsidRDefault="001C2F1E" w:rsidP="00E03792">
            <w:pPr>
              <w:rPr>
                <w:rFonts w:ascii="Aptos" w:hAnsi="Aptos" w:cs="Calibri"/>
                <w:sz w:val="20"/>
                <w:szCs w:val="20"/>
              </w:rPr>
            </w:pPr>
            <w:r w:rsidRPr="00E03792">
              <w:rPr>
                <w:rFonts w:ascii="Aptos" w:hAnsi="Aptos" w:cs="Calibri"/>
                <w:sz w:val="20"/>
                <w:szCs w:val="20"/>
              </w:rPr>
              <w:t>Démarrage des sessions au cours du premier semestre suivant la mise en œuvre du Programme</w:t>
            </w:r>
          </w:p>
          <w:p w14:paraId="3FDD87C0" w14:textId="77777777" w:rsidR="001C2F1E" w:rsidRPr="00E03792" w:rsidRDefault="001C2F1E" w:rsidP="00E03792">
            <w:pPr>
              <w:spacing w:after="0" w:line="240" w:lineRule="auto"/>
              <w:rPr>
                <w:rFonts w:ascii="Aptos" w:hAnsi="Aptos" w:cs="Calibri"/>
                <w:color w:val="000000"/>
                <w:sz w:val="20"/>
                <w:szCs w:val="20"/>
                <w:highlight w:val="yellow"/>
              </w:rPr>
            </w:pPr>
            <w:r w:rsidRPr="00E03792">
              <w:rPr>
                <w:rFonts w:ascii="Aptos" w:hAnsi="Aptos" w:cs="Calibri"/>
                <w:sz w:val="20"/>
                <w:szCs w:val="20"/>
              </w:rPr>
              <w:t>Sessions de recyclage tout au long de la durée du Programme (fréquence à déterminer selon le budget)</w:t>
            </w:r>
          </w:p>
        </w:tc>
      </w:tr>
      <w:tr w:rsidR="001C2F1E" w:rsidRPr="00D401FA" w14:paraId="6E7BA4EA" w14:textId="77777777" w:rsidTr="00E03792">
        <w:tc>
          <w:tcPr>
            <w:tcW w:w="9383" w:type="dxa"/>
            <w:gridSpan w:val="10"/>
            <w:shd w:val="clear" w:color="auto" w:fill="D9D9D9"/>
          </w:tcPr>
          <w:p w14:paraId="12258CA4" w14:textId="77777777" w:rsidR="001C2F1E" w:rsidRPr="00E03792" w:rsidRDefault="001C2F1E" w:rsidP="00E03792">
            <w:pPr>
              <w:spacing w:after="0" w:line="240" w:lineRule="auto"/>
              <w:rPr>
                <w:rFonts w:ascii="Aptos" w:hAnsi="Aptos" w:cs="Calibri"/>
                <w:b/>
                <w:color w:val="000000"/>
                <w:sz w:val="20"/>
                <w:szCs w:val="20"/>
              </w:rPr>
            </w:pPr>
          </w:p>
          <w:p w14:paraId="459133C3" w14:textId="335B6DD8"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b/>
                <w:bCs/>
                <w:sz w:val="20"/>
                <w:szCs w:val="20"/>
              </w:rPr>
              <w:t xml:space="preserve">3. RENFORCEMENT DES CAPACITÉS </w:t>
            </w:r>
            <w:r w:rsidR="00E03792">
              <w:rPr>
                <w:rFonts w:ascii="Aptos" w:hAnsi="Aptos" w:cs="Calibri"/>
                <w:b/>
                <w:bCs/>
                <w:sz w:val="20"/>
                <w:szCs w:val="20"/>
              </w:rPr>
              <w:t xml:space="preserve">DE </w:t>
            </w:r>
            <w:r w:rsidRPr="00E03792">
              <w:rPr>
                <w:rFonts w:ascii="Aptos" w:hAnsi="Aptos" w:cs="Calibri"/>
                <w:b/>
                <w:bCs/>
                <w:sz w:val="20"/>
                <w:szCs w:val="20"/>
              </w:rPr>
              <w:t>MISE EN ŒUVRE DES OUTILS DE SUIVI</w:t>
            </w:r>
          </w:p>
        </w:tc>
      </w:tr>
      <w:tr w:rsidR="001C2F1E" w:rsidRPr="00D401FA" w14:paraId="0208CDA0" w14:textId="77777777" w:rsidTr="00E03792">
        <w:tc>
          <w:tcPr>
            <w:tcW w:w="567" w:type="dxa"/>
          </w:tcPr>
          <w:p w14:paraId="1872A67D"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3.1</w:t>
            </w:r>
          </w:p>
        </w:tc>
        <w:tc>
          <w:tcPr>
            <w:tcW w:w="1706" w:type="dxa"/>
            <w:gridSpan w:val="2"/>
          </w:tcPr>
          <w:p w14:paraId="0169B818" w14:textId="77777777" w:rsidR="001C2F1E" w:rsidRPr="00E03792" w:rsidRDefault="001C2F1E" w:rsidP="00E03792">
            <w:pPr>
              <w:spacing w:after="0" w:line="240" w:lineRule="auto"/>
              <w:rPr>
                <w:rFonts w:ascii="Aptos" w:hAnsi="Aptos" w:cs="Calibri"/>
                <w:b/>
                <w:bCs/>
                <w:color w:val="000000"/>
                <w:sz w:val="20"/>
                <w:szCs w:val="20"/>
              </w:rPr>
            </w:pPr>
            <w:r w:rsidRPr="00E03792">
              <w:rPr>
                <w:rFonts w:ascii="Aptos" w:hAnsi="Aptos" w:cs="Calibri"/>
                <w:b/>
                <w:bCs/>
                <w:sz w:val="20"/>
                <w:szCs w:val="20"/>
              </w:rPr>
              <w:t>Suivi</w:t>
            </w:r>
          </w:p>
        </w:tc>
        <w:tc>
          <w:tcPr>
            <w:tcW w:w="3870" w:type="dxa"/>
            <w:gridSpan w:val="3"/>
          </w:tcPr>
          <w:p w14:paraId="4FC82A6A"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Définition et mise en place d’un système de suivi et de contrôle de la gestion environnementale et sociale des sous-projets d’investissement, ainsi que du suivi de l’ensemble des mesures d’atténuation prévues (PGES et PAR)</w:t>
            </w:r>
          </w:p>
        </w:tc>
        <w:tc>
          <w:tcPr>
            <w:tcW w:w="1620" w:type="dxa"/>
            <w:gridSpan w:val="2"/>
          </w:tcPr>
          <w:p w14:paraId="4D0FF91A"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UCP avec la DECE, avec l’appui d’une assistance technique spécialisée</w:t>
            </w:r>
          </w:p>
        </w:tc>
        <w:tc>
          <w:tcPr>
            <w:tcW w:w="1620" w:type="dxa"/>
            <w:gridSpan w:val="2"/>
          </w:tcPr>
          <w:p w14:paraId="78D44284"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Au cours du premier semestre suivant la mise en œuvre d’IQRAA</w:t>
            </w:r>
          </w:p>
        </w:tc>
      </w:tr>
      <w:tr w:rsidR="001C2F1E" w:rsidRPr="00D401FA" w14:paraId="3F218409" w14:textId="77777777" w:rsidTr="00E03792">
        <w:tc>
          <w:tcPr>
            <w:tcW w:w="567" w:type="dxa"/>
          </w:tcPr>
          <w:p w14:paraId="26C5166B"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3.2</w:t>
            </w:r>
          </w:p>
        </w:tc>
        <w:tc>
          <w:tcPr>
            <w:tcW w:w="1706" w:type="dxa"/>
            <w:gridSpan w:val="2"/>
          </w:tcPr>
          <w:p w14:paraId="71F9CF8D" w14:textId="77777777" w:rsidR="001C2F1E" w:rsidRPr="00E03792" w:rsidRDefault="001C2F1E" w:rsidP="00E03792">
            <w:pPr>
              <w:spacing w:after="0" w:line="240" w:lineRule="auto"/>
              <w:rPr>
                <w:rFonts w:ascii="Aptos" w:hAnsi="Aptos" w:cs="Calibri"/>
                <w:b/>
                <w:bCs/>
                <w:color w:val="000000"/>
                <w:sz w:val="20"/>
                <w:szCs w:val="20"/>
              </w:rPr>
            </w:pPr>
            <w:r w:rsidRPr="00E03792">
              <w:rPr>
                <w:rFonts w:ascii="Aptos" w:hAnsi="Aptos" w:cs="Calibri"/>
                <w:b/>
                <w:bCs/>
                <w:sz w:val="20"/>
                <w:szCs w:val="20"/>
              </w:rPr>
              <w:t>Formation au suivi et au contrôle</w:t>
            </w:r>
          </w:p>
        </w:tc>
        <w:tc>
          <w:tcPr>
            <w:tcW w:w="3870" w:type="dxa"/>
            <w:gridSpan w:val="3"/>
          </w:tcPr>
          <w:p w14:paraId="179C4C69" w14:textId="77777777" w:rsidR="001C2F1E" w:rsidRPr="00E03792" w:rsidRDefault="001C2F1E" w:rsidP="00E03792">
            <w:pPr>
              <w:spacing w:after="0" w:line="240" w:lineRule="auto"/>
              <w:rPr>
                <w:rFonts w:ascii="Aptos" w:hAnsi="Aptos" w:cs="Calibri"/>
                <w:sz w:val="20"/>
                <w:szCs w:val="20"/>
              </w:rPr>
            </w:pPr>
            <w:r w:rsidRPr="00E03792">
              <w:rPr>
                <w:rFonts w:ascii="Aptos" w:hAnsi="Aptos" w:cs="Calibri"/>
                <w:sz w:val="20"/>
                <w:szCs w:val="20"/>
              </w:rPr>
              <w:t>Formation des parties prenantes à l’utilisation des outils de suivi de la gestion environnementale et sociale</w:t>
            </w:r>
          </w:p>
        </w:tc>
        <w:tc>
          <w:tcPr>
            <w:tcW w:w="1620" w:type="dxa"/>
            <w:gridSpan w:val="2"/>
          </w:tcPr>
          <w:p w14:paraId="622C191B"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UCP, avec la DECE</w:t>
            </w:r>
          </w:p>
        </w:tc>
        <w:tc>
          <w:tcPr>
            <w:tcW w:w="1620" w:type="dxa"/>
            <w:gridSpan w:val="2"/>
          </w:tcPr>
          <w:p w14:paraId="50CC0D27" w14:textId="77777777" w:rsidR="001C2F1E" w:rsidRPr="00E03792" w:rsidRDefault="001C2F1E" w:rsidP="00E03792">
            <w:pPr>
              <w:spacing w:after="0" w:line="240" w:lineRule="auto"/>
              <w:rPr>
                <w:rFonts w:ascii="Aptos" w:hAnsi="Aptos" w:cs="Calibri"/>
                <w:color w:val="000000"/>
                <w:sz w:val="20"/>
                <w:szCs w:val="20"/>
              </w:rPr>
            </w:pPr>
            <w:r w:rsidRPr="00E03792">
              <w:rPr>
                <w:rFonts w:ascii="Aptos" w:hAnsi="Aptos" w:cs="Calibri"/>
                <w:sz w:val="20"/>
                <w:szCs w:val="20"/>
              </w:rPr>
              <w:t>Au cours du premier semestre suivant le lancement des premiers sous-projets, puis tous les six mois pendant la durée du Programme</w:t>
            </w:r>
          </w:p>
        </w:tc>
      </w:tr>
    </w:tbl>
    <w:p w14:paraId="03D31235" w14:textId="77777777" w:rsidR="001C2F1E" w:rsidRPr="00D401FA" w:rsidRDefault="001C2F1E" w:rsidP="00216CAF">
      <w:pPr>
        <w:jc w:val="both"/>
        <w:rPr>
          <w:rFonts w:ascii="Aptos" w:hAnsi="Aptos"/>
        </w:rPr>
      </w:pPr>
    </w:p>
    <w:p w14:paraId="536E32ED" w14:textId="77777777" w:rsidR="001C2F1E" w:rsidRPr="00D401FA" w:rsidRDefault="001C2F1E" w:rsidP="00216CAF">
      <w:pPr>
        <w:spacing w:after="240" w:line="264" w:lineRule="auto"/>
        <w:jc w:val="both"/>
        <w:rPr>
          <w:rFonts w:ascii="Aptos" w:eastAsia="Arial" w:hAnsi="Aptos" w:cs="Arial"/>
          <w:color w:val="000000" w:themeColor="text1"/>
        </w:rPr>
      </w:pPr>
    </w:p>
    <w:p w14:paraId="7B2FDE85" w14:textId="307D4E99" w:rsidR="001C2F1E" w:rsidRPr="00D401FA" w:rsidRDefault="001C2F1E" w:rsidP="00216CAF">
      <w:pPr>
        <w:jc w:val="both"/>
        <w:rPr>
          <w:rFonts w:ascii="Aptos" w:hAnsi="Aptos" w:cs="Calibri"/>
        </w:rPr>
      </w:pPr>
      <w:r w:rsidRPr="00D401FA">
        <w:rPr>
          <w:rFonts w:ascii="Aptos" w:hAnsi="Aptos" w:cs="Calibri"/>
        </w:rPr>
        <w:t>-------------------------------------------------------------------------------------------------------------------------</w:t>
      </w:r>
    </w:p>
    <w:p w14:paraId="7A4A5D54" w14:textId="0D8DFC0A" w:rsidR="001C2F1E" w:rsidRPr="00D401FA" w:rsidRDefault="001C2F1E" w:rsidP="00216CAF">
      <w:pPr>
        <w:jc w:val="both"/>
        <w:rPr>
          <w:rFonts w:ascii="Aptos" w:hAnsi="Aptos" w:cs="Calibri"/>
        </w:rPr>
      </w:pPr>
      <w:r w:rsidRPr="00D401FA">
        <w:rPr>
          <w:rFonts w:ascii="Aptos" w:hAnsi="Aptos" w:cs="Calibri"/>
        </w:rPr>
        <w:t xml:space="preserve">La Banque mondiale </w:t>
      </w:r>
      <w:r w:rsidR="00E03792">
        <w:rPr>
          <w:rFonts w:ascii="Aptos" w:hAnsi="Aptos" w:cs="Calibri"/>
        </w:rPr>
        <w:t>se chargera</w:t>
      </w:r>
      <w:r w:rsidRPr="00D401FA">
        <w:rPr>
          <w:rFonts w:ascii="Aptos" w:hAnsi="Aptos" w:cs="Calibri"/>
        </w:rPr>
        <w:t xml:space="preserve"> de l’organisation d’une consultation publique avec les représentants des principales parties prenantes, des organisations de la société civile et du secteur privé afin de présenter et de discuter le rapport préliminaire de l’ESES.</w:t>
      </w:r>
    </w:p>
    <w:p w14:paraId="11EB6A5C" w14:textId="77777777" w:rsidR="001C2F1E" w:rsidRPr="00D401FA" w:rsidRDefault="001C2F1E" w:rsidP="00216CAF">
      <w:pPr>
        <w:jc w:val="both"/>
        <w:rPr>
          <w:rFonts w:ascii="Aptos" w:hAnsi="Aptos" w:cs="Calibri"/>
        </w:rPr>
      </w:pPr>
      <w:r w:rsidRPr="00D401FA">
        <w:rPr>
          <w:rFonts w:ascii="Aptos" w:hAnsi="Aptos" w:cs="Calibri"/>
        </w:rPr>
        <w:t>Par la suite, pendant toute la durée du Programme, la partie mauritanienne sera chargée d’organiser des consultations publiques relatives aux activités spécifiques du Programme (sous-projets d’investissement).</w:t>
      </w:r>
    </w:p>
    <w:p w14:paraId="0F5C153B" w14:textId="77777777" w:rsidR="001C2F1E" w:rsidRPr="00D401FA" w:rsidRDefault="001C2F1E" w:rsidP="00216CAF">
      <w:pPr>
        <w:jc w:val="both"/>
        <w:rPr>
          <w:rFonts w:ascii="Aptos" w:hAnsi="Aptos" w:cs="Calibri"/>
        </w:rPr>
      </w:pPr>
      <w:r w:rsidRPr="00D401FA">
        <w:rPr>
          <w:rFonts w:ascii="Aptos" w:hAnsi="Aptos" w:cs="Calibri"/>
        </w:rPr>
        <w:t>La version finale révisée de l’ESES sera mise à la disposition du public sur le site externe de la Banque mondiale ainsi que sur les sites du Ministère de l’Économie et des Finances et du MERSE. Les observations du public seront recueillies pendant la période définie.</w:t>
      </w:r>
    </w:p>
    <w:p w14:paraId="24F9979C" w14:textId="052CBC6B" w:rsidR="001C2F1E" w:rsidRPr="00D401FA" w:rsidRDefault="001C2F1E" w:rsidP="00216CAF">
      <w:pPr>
        <w:jc w:val="both"/>
        <w:rPr>
          <w:rFonts w:ascii="Aptos" w:hAnsi="Aptos" w:cs="Calibri"/>
        </w:rPr>
      </w:pPr>
      <w:r w:rsidRPr="00D401FA">
        <w:rPr>
          <w:rFonts w:ascii="Aptos" w:hAnsi="Aptos" w:cs="Calibri"/>
        </w:rPr>
        <w:t>-------------------------------------------------------------------------------------------------------------------------</w:t>
      </w:r>
    </w:p>
    <w:p w14:paraId="6732C433" w14:textId="77777777" w:rsidR="001C2F1E" w:rsidRPr="00D401FA" w:rsidRDefault="001C2F1E" w:rsidP="00216CAF">
      <w:pPr>
        <w:jc w:val="both"/>
        <w:rPr>
          <w:rFonts w:ascii="Aptos" w:hAnsi="Aptos" w:cs="Calibri"/>
        </w:rPr>
      </w:pPr>
    </w:p>
    <w:sectPr w:rsidR="001C2F1E" w:rsidRPr="00D401FA">
      <w:headerReference w:type="default" r:id="rId16"/>
      <w:footerReference w:type="even" r:id="rId17"/>
      <w:footerReference w:type="defaul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7C1F" w14:textId="77777777" w:rsidR="009E35F8" w:rsidRDefault="009E35F8" w:rsidP="00C345D8">
      <w:pPr>
        <w:spacing w:after="0" w:line="240" w:lineRule="auto"/>
      </w:pPr>
      <w:r>
        <w:separator/>
      </w:r>
    </w:p>
  </w:endnote>
  <w:endnote w:type="continuationSeparator" w:id="0">
    <w:p w14:paraId="71C11A63" w14:textId="77777777" w:rsidR="009E35F8" w:rsidRDefault="009E35F8" w:rsidP="00C3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5404" w14:textId="43787997" w:rsidR="008B048C" w:rsidRDefault="008B048C">
    <w:pPr>
      <w:pStyle w:val="Footer"/>
    </w:pPr>
    <w:r>
      <w:rPr>
        <w:noProof/>
      </w:rPr>
      <mc:AlternateContent>
        <mc:Choice Requires="wps">
          <w:drawing>
            <wp:anchor distT="0" distB="0" distL="0" distR="0" simplePos="0" relativeHeight="251659264" behindDoc="0" locked="0" layoutInCell="1" allowOverlap="1" wp14:anchorId="7FDD66C6" wp14:editId="405DFB26">
              <wp:simplePos x="635" y="635"/>
              <wp:positionH relativeFrom="page">
                <wp:align>right</wp:align>
              </wp:positionH>
              <wp:positionV relativeFrom="page">
                <wp:align>bottom</wp:align>
              </wp:positionV>
              <wp:extent cx="1170305" cy="357505"/>
              <wp:effectExtent l="0" t="0" r="0" b="0"/>
              <wp:wrapNone/>
              <wp:docPr id="128232201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340311E5" w14:textId="74D249DE" w:rsidR="008B048C" w:rsidRPr="008B048C" w:rsidRDefault="008B048C" w:rsidP="008B048C">
                          <w:pPr>
                            <w:spacing w:after="0"/>
                            <w:rPr>
                              <w:rFonts w:ascii="Aptos" w:eastAsia="Aptos" w:hAnsi="Aptos" w:cs="Aptos"/>
                              <w:noProof/>
                              <w:color w:val="000000"/>
                              <w:sz w:val="20"/>
                              <w:szCs w:val="20"/>
                            </w:rPr>
                          </w:pPr>
                          <w:r w:rsidRPr="008B048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DD66C6"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" filled="f" stroked="f">
              <v:textbox style="mso-fit-shape-to-text:t" inset="0,0,20pt,15pt">
                <w:txbxContent>
                  <w:p w14:paraId="340311E5" w14:textId="74D249DE" w:rsidR="008B048C" w:rsidRPr="008B048C" w:rsidRDefault="008B048C" w:rsidP="008B048C">
                    <w:pPr>
                      <w:spacing w:after="0"/>
                      <w:rPr>
                        <w:rFonts w:ascii="Aptos" w:eastAsia="Aptos" w:hAnsi="Aptos" w:cs="Aptos"/>
                        <w:noProof/>
                        <w:color w:val="000000"/>
                        <w:sz w:val="20"/>
                        <w:szCs w:val="20"/>
                      </w:rPr>
                    </w:pPr>
                    <w:r w:rsidRPr="008B048C">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9100" w14:textId="6374B3E9" w:rsidR="00946762" w:rsidRDefault="008B048C">
    <w:pPr>
      <w:pStyle w:val="Footer"/>
      <w:jc w:val="center"/>
    </w:pPr>
    <w:r>
      <w:rPr>
        <w:noProof/>
      </w:rPr>
      <mc:AlternateContent>
        <mc:Choice Requires="wps">
          <w:drawing>
            <wp:anchor distT="0" distB="0" distL="0" distR="0" simplePos="0" relativeHeight="251660288" behindDoc="0" locked="0" layoutInCell="1" allowOverlap="1" wp14:anchorId="0F26EF4D" wp14:editId="0E33A5A3">
              <wp:simplePos x="635" y="635"/>
              <wp:positionH relativeFrom="page">
                <wp:align>right</wp:align>
              </wp:positionH>
              <wp:positionV relativeFrom="page">
                <wp:align>bottom</wp:align>
              </wp:positionV>
              <wp:extent cx="1170305" cy="357505"/>
              <wp:effectExtent l="0" t="0" r="0" b="0"/>
              <wp:wrapNone/>
              <wp:docPr id="2068742120"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2099D5F2" w14:textId="48B17550" w:rsidR="008B048C" w:rsidRPr="008B048C" w:rsidRDefault="008B048C" w:rsidP="008B048C">
                          <w:pPr>
                            <w:spacing w:after="0"/>
                            <w:rPr>
                              <w:rFonts w:ascii="Aptos" w:eastAsia="Aptos" w:hAnsi="Aptos" w:cs="Aptos"/>
                              <w:noProof/>
                              <w:color w:val="000000"/>
                              <w:sz w:val="20"/>
                              <w:szCs w:val="20"/>
                            </w:rPr>
                          </w:pPr>
                          <w:r w:rsidRPr="008B048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26EF4D" id="_x0000_t202" coordsize="21600,21600" o:spt="202" path="m,l,21600r21600,l21600,xe">
              <v:stroke joinstyle="miter"/>
              <v:path gradientshapeok="t" o:connecttype="rect"/>
            </v:shapetype>
            <v:shape id="Text Box 3" o:spid="_x0000_s1027" type="#_x0000_t202" alt="Official Use Only" style="position:absolute;left:0;text-align:left;margin-left:40.95pt;margin-top:0;width:92.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" filled="f" stroked="f">
              <v:textbox style="mso-fit-shape-to-text:t" inset="0,0,20pt,15pt">
                <w:txbxContent>
                  <w:p w14:paraId="2099D5F2" w14:textId="48B17550" w:rsidR="008B048C" w:rsidRPr="008B048C" w:rsidRDefault="008B048C" w:rsidP="008B048C">
                    <w:pPr>
                      <w:spacing w:after="0"/>
                      <w:rPr>
                        <w:rFonts w:ascii="Aptos" w:eastAsia="Aptos" w:hAnsi="Aptos" w:cs="Aptos"/>
                        <w:noProof/>
                        <w:color w:val="000000"/>
                        <w:sz w:val="20"/>
                        <w:szCs w:val="20"/>
                      </w:rPr>
                    </w:pPr>
                    <w:r w:rsidRPr="008B048C">
                      <w:rPr>
                        <w:rFonts w:ascii="Aptos" w:eastAsia="Aptos" w:hAnsi="Aptos" w:cs="Aptos"/>
                        <w:noProof/>
                        <w:color w:val="000000"/>
                        <w:sz w:val="20"/>
                        <w:szCs w:val="20"/>
                      </w:rPr>
                      <w:t>Official Use Only</w:t>
                    </w:r>
                  </w:p>
                </w:txbxContent>
              </v:textbox>
              <w10:wrap anchorx="page" anchory="page"/>
            </v:shape>
          </w:pict>
        </mc:Fallback>
      </mc:AlternateContent>
    </w:r>
    <w:sdt>
      <w:sdtPr>
        <w:id w:val="1815518381"/>
        <w:docPartObj>
          <w:docPartGallery w:val="Page Numbers (Bottom of Page)"/>
          <w:docPartUnique/>
        </w:docPartObj>
      </w:sdtPr>
      <w:sdtContent>
        <w:r w:rsidR="00946762">
          <w:fldChar w:fldCharType="begin"/>
        </w:r>
        <w:r w:rsidR="00946762">
          <w:instrText>PAGE   \* MERGEFORMAT</w:instrText>
        </w:r>
        <w:r w:rsidR="00946762">
          <w:fldChar w:fldCharType="separate"/>
        </w:r>
        <w:r w:rsidR="00946762">
          <w:t>2</w:t>
        </w:r>
        <w:r w:rsidR="00946762">
          <w:fldChar w:fldCharType="end"/>
        </w:r>
      </w:sdtContent>
    </w:sdt>
  </w:p>
  <w:p w14:paraId="7394E022" w14:textId="77777777" w:rsidR="00946762" w:rsidRDefault="00946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A749" w14:textId="1DC47F8C" w:rsidR="008B048C" w:rsidRDefault="008B048C">
    <w:pPr>
      <w:pStyle w:val="Footer"/>
    </w:pPr>
    <w:r>
      <w:rPr>
        <w:noProof/>
      </w:rPr>
      <mc:AlternateContent>
        <mc:Choice Requires="wps">
          <w:drawing>
            <wp:anchor distT="0" distB="0" distL="0" distR="0" simplePos="0" relativeHeight="251658240" behindDoc="0" locked="0" layoutInCell="1" allowOverlap="1" wp14:anchorId="165DD17D" wp14:editId="2A497B20">
              <wp:simplePos x="635" y="635"/>
              <wp:positionH relativeFrom="page">
                <wp:align>right</wp:align>
              </wp:positionH>
              <wp:positionV relativeFrom="page">
                <wp:align>bottom</wp:align>
              </wp:positionV>
              <wp:extent cx="1170305" cy="357505"/>
              <wp:effectExtent l="0" t="0" r="0" b="0"/>
              <wp:wrapNone/>
              <wp:docPr id="708432581"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2A0822B0" w14:textId="15277EA6" w:rsidR="008B048C" w:rsidRPr="008B048C" w:rsidRDefault="008B048C" w:rsidP="008B048C">
                          <w:pPr>
                            <w:spacing w:after="0"/>
                            <w:rPr>
                              <w:rFonts w:ascii="Aptos" w:eastAsia="Aptos" w:hAnsi="Aptos" w:cs="Aptos"/>
                              <w:noProof/>
                              <w:color w:val="000000"/>
                              <w:sz w:val="20"/>
                              <w:szCs w:val="20"/>
                            </w:rPr>
                          </w:pPr>
                          <w:r w:rsidRPr="008B048C">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5DD17D"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" filled="f" stroked="f">
              <v:textbox style="mso-fit-shape-to-text:t" inset="0,0,20pt,15pt">
                <w:txbxContent>
                  <w:p w14:paraId="2A0822B0" w14:textId="15277EA6" w:rsidR="008B048C" w:rsidRPr="008B048C" w:rsidRDefault="008B048C" w:rsidP="008B048C">
                    <w:pPr>
                      <w:spacing w:after="0"/>
                      <w:rPr>
                        <w:rFonts w:ascii="Aptos" w:eastAsia="Aptos" w:hAnsi="Aptos" w:cs="Aptos"/>
                        <w:noProof/>
                        <w:color w:val="000000"/>
                        <w:sz w:val="20"/>
                        <w:szCs w:val="20"/>
                      </w:rPr>
                    </w:pPr>
                    <w:r w:rsidRPr="008B048C">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106E" w14:textId="77777777" w:rsidR="009E35F8" w:rsidRDefault="009E35F8" w:rsidP="00C345D8">
      <w:pPr>
        <w:spacing w:after="0" w:line="240" w:lineRule="auto"/>
      </w:pPr>
      <w:r>
        <w:separator/>
      </w:r>
    </w:p>
  </w:footnote>
  <w:footnote w:type="continuationSeparator" w:id="0">
    <w:p w14:paraId="0476A836" w14:textId="77777777" w:rsidR="009E35F8" w:rsidRDefault="009E35F8" w:rsidP="00C3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AA36" w14:textId="32F43240" w:rsidR="00D401FA" w:rsidRPr="00D401FA" w:rsidRDefault="00D401FA" w:rsidP="00D401FA">
    <w:pPr>
      <w:pStyle w:val="Header"/>
      <w:jc w:val="center"/>
      <w:rPr>
        <w:sz w:val="18"/>
        <w:szCs w:val="18"/>
      </w:rPr>
    </w:pPr>
    <w:r w:rsidRPr="00D401FA">
      <w:rPr>
        <w:rFonts w:ascii="Aptos" w:hAnsi="Aptos"/>
        <w:sz w:val="18"/>
        <w:szCs w:val="18"/>
      </w:rPr>
      <w:t>Programme d’amélioration de la qualité, des résultats et de l’accès à l’éducation pour tous en Mauritanie (IQRAA) (</w:t>
    </w:r>
    <w:r w:rsidRPr="00D401FA">
      <w:rPr>
        <w:rFonts w:ascii="Aptos" w:hAnsi="Aptos"/>
        <w:i/>
        <w:iCs/>
        <w:sz w:val="18"/>
        <w:szCs w:val="18"/>
      </w:rPr>
      <w:t>P509243</w:t>
    </w:r>
    <w:r w:rsidRPr="00D401FA">
      <w:rPr>
        <w:rFonts w:ascii="Aptos" w:hAnsi="Aptos"/>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340"/>
    <w:multiLevelType w:val="multilevel"/>
    <w:tmpl w:val="5EB0E35A"/>
    <w:lvl w:ilvl="0">
      <w:start w:val="1"/>
      <w:numFmt w:val="decimal"/>
      <w:lvlText w:val="%1."/>
      <w:lvlJc w:val="left"/>
      <w:pPr>
        <w:tabs>
          <w:tab w:val="num" w:pos="720"/>
        </w:tabs>
        <w:ind w:left="720" w:hanging="360"/>
      </w:pPr>
    </w:lvl>
    <w:lvl w:ilvl="1">
      <w:start w:val="1"/>
      <w:numFmt w:val="upperLetter"/>
      <w:pStyle w:val="Heading4"/>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27F37"/>
    <w:multiLevelType w:val="hybridMultilevel"/>
    <w:tmpl w:val="6F8E08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D12BC"/>
    <w:multiLevelType w:val="multilevel"/>
    <w:tmpl w:val="B81C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B2736"/>
    <w:multiLevelType w:val="multilevel"/>
    <w:tmpl w:val="58BC7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A4425"/>
    <w:multiLevelType w:val="multilevel"/>
    <w:tmpl w:val="0A52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4174B"/>
    <w:multiLevelType w:val="multilevel"/>
    <w:tmpl w:val="75DC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60994"/>
    <w:multiLevelType w:val="multilevel"/>
    <w:tmpl w:val="65E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76B05"/>
    <w:multiLevelType w:val="multilevel"/>
    <w:tmpl w:val="E9A4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07F88"/>
    <w:multiLevelType w:val="multilevel"/>
    <w:tmpl w:val="D112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F161EF"/>
    <w:multiLevelType w:val="hybridMultilevel"/>
    <w:tmpl w:val="D3806384"/>
    <w:lvl w:ilvl="0" w:tplc="C5CE114E">
      <w:start w:val="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BA1E79"/>
    <w:multiLevelType w:val="multilevel"/>
    <w:tmpl w:val="778E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17479"/>
    <w:multiLevelType w:val="multilevel"/>
    <w:tmpl w:val="37288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51BCD"/>
    <w:multiLevelType w:val="multilevel"/>
    <w:tmpl w:val="6286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9345A"/>
    <w:multiLevelType w:val="hybridMultilevel"/>
    <w:tmpl w:val="D5DE21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116E07"/>
    <w:multiLevelType w:val="hybridMultilevel"/>
    <w:tmpl w:val="3B6C0DD2"/>
    <w:lvl w:ilvl="0" w:tplc="0FF46B92">
      <w:start w:val="1"/>
      <w:numFmt w:val="bullet"/>
      <w:lvlText w:val="-"/>
      <w:lvlJc w:val="left"/>
      <w:pPr>
        <w:ind w:left="360" w:hanging="360"/>
      </w:pPr>
      <w:rPr>
        <w:rFonts w:ascii="Cambria" w:eastAsiaTheme="minorHAnsi" w:hAnsi="Cambria" w:cstheme="minorBidi" w:hint="default"/>
      </w:rPr>
    </w:lvl>
    <w:lvl w:ilvl="1" w:tplc="5A4232AE" w:tentative="1">
      <w:start w:val="1"/>
      <w:numFmt w:val="bullet"/>
      <w:lvlText w:val="o"/>
      <w:lvlJc w:val="left"/>
      <w:pPr>
        <w:ind w:left="1080" w:hanging="360"/>
      </w:pPr>
      <w:rPr>
        <w:rFonts w:ascii="Courier New" w:hAnsi="Courier New" w:cs="Courier New" w:hint="default"/>
      </w:rPr>
    </w:lvl>
    <w:lvl w:ilvl="2" w:tplc="CD6E8832" w:tentative="1">
      <w:start w:val="1"/>
      <w:numFmt w:val="bullet"/>
      <w:lvlText w:val=""/>
      <w:lvlJc w:val="left"/>
      <w:pPr>
        <w:ind w:left="1800" w:hanging="360"/>
      </w:pPr>
      <w:rPr>
        <w:rFonts w:ascii="Wingdings" w:hAnsi="Wingdings" w:hint="default"/>
      </w:rPr>
    </w:lvl>
    <w:lvl w:ilvl="3" w:tplc="8890A286" w:tentative="1">
      <w:start w:val="1"/>
      <w:numFmt w:val="bullet"/>
      <w:lvlText w:val=""/>
      <w:lvlJc w:val="left"/>
      <w:pPr>
        <w:ind w:left="2520" w:hanging="360"/>
      </w:pPr>
      <w:rPr>
        <w:rFonts w:ascii="Symbol" w:hAnsi="Symbol" w:hint="default"/>
      </w:rPr>
    </w:lvl>
    <w:lvl w:ilvl="4" w:tplc="8BDE3DBA" w:tentative="1">
      <w:start w:val="1"/>
      <w:numFmt w:val="bullet"/>
      <w:lvlText w:val="o"/>
      <w:lvlJc w:val="left"/>
      <w:pPr>
        <w:ind w:left="3240" w:hanging="360"/>
      </w:pPr>
      <w:rPr>
        <w:rFonts w:ascii="Courier New" w:hAnsi="Courier New" w:cs="Courier New" w:hint="default"/>
      </w:rPr>
    </w:lvl>
    <w:lvl w:ilvl="5" w:tplc="57A48E2C" w:tentative="1">
      <w:start w:val="1"/>
      <w:numFmt w:val="bullet"/>
      <w:lvlText w:val=""/>
      <w:lvlJc w:val="left"/>
      <w:pPr>
        <w:ind w:left="3960" w:hanging="360"/>
      </w:pPr>
      <w:rPr>
        <w:rFonts w:ascii="Wingdings" w:hAnsi="Wingdings" w:hint="default"/>
      </w:rPr>
    </w:lvl>
    <w:lvl w:ilvl="6" w:tplc="A9000888" w:tentative="1">
      <w:start w:val="1"/>
      <w:numFmt w:val="bullet"/>
      <w:lvlText w:val=""/>
      <w:lvlJc w:val="left"/>
      <w:pPr>
        <w:ind w:left="4680" w:hanging="360"/>
      </w:pPr>
      <w:rPr>
        <w:rFonts w:ascii="Symbol" w:hAnsi="Symbol" w:hint="default"/>
      </w:rPr>
    </w:lvl>
    <w:lvl w:ilvl="7" w:tplc="9DECD93A" w:tentative="1">
      <w:start w:val="1"/>
      <w:numFmt w:val="bullet"/>
      <w:lvlText w:val="o"/>
      <w:lvlJc w:val="left"/>
      <w:pPr>
        <w:ind w:left="5400" w:hanging="360"/>
      </w:pPr>
      <w:rPr>
        <w:rFonts w:ascii="Courier New" w:hAnsi="Courier New" w:cs="Courier New" w:hint="default"/>
      </w:rPr>
    </w:lvl>
    <w:lvl w:ilvl="8" w:tplc="056681C4" w:tentative="1">
      <w:start w:val="1"/>
      <w:numFmt w:val="bullet"/>
      <w:lvlText w:val=""/>
      <w:lvlJc w:val="left"/>
      <w:pPr>
        <w:ind w:left="6120" w:hanging="360"/>
      </w:pPr>
      <w:rPr>
        <w:rFonts w:ascii="Wingdings" w:hAnsi="Wingdings" w:hint="default"/>
      </w:rPr>
    </w:lvl>
  </w:abstractNum>
  <w:abstractNum w:abstractNumId="15" w15:restartNumberingAfterBreak="0">
    <w:nsid w:val="24D5365B"/>
    <w:multiLevelType w:val="hybridMultilevel"/>
    <w:tmpl w:val="03B6B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682C10"/>
    <w:multiLevelType w:val="multilevel"/>
    <w:tmpl w:val="4CFC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43BA2"/>
    <w:multiLevelType w:val="multilevel"/>
    <w:tmpl w:val="E93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00745"/>
    <w:multiLevelType w:val="multilevel"/>
    <w:tmpl w:val="4CBE9F50"/>
    <w:lvl w:ilvl="0">
      <w:start w:val="1"/>
      <w:numFmt w:val="upperRoman"/>
      <w:pStyle w:val="Heading1"/>
      <w:lvlText w:val="%1."/>
      <w:lvlJc w:val="left"/>
      <w:pPr>
        <w:ind w:left="1080" w:hanging="720"/>
      </w:pPr>
    </w:lvl>
    <w:lvl w:ilvl="1">
      <w:start w:val="1"/>
      <w:numFmt w:val="decimal"/>
      <w:pStyle w:val="Heading2"/>
      <w:lvlText w:val="%1.%2."/>
      <w:lvlJc w:val="left"/>
      <w:pPr>
        <w:ind w:left="1080" w:hanging="720"/>
      </w:pPr>
    </w:lvl>
    <w:lvl w:ilvl="2">
      <w:start w:val="1"/>
      <w:numFmt w:val="decimal"/>
      <w:pStyle w:val="Heading3"/>
      <w:lvlText w:val="%1.%2.%3."/>
      <w:lvlJc w:val="left"/>
      <w:pPr>
        <w:ind w:left="22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9" w15:restartNumberingAfterBreak="0">
    <w:nsid w:val="3B6977E0"/>
    <w:multiLevelType w:val="hybridMultilevel"/>
    <w:tmpl w:val="35BCBD7A"/>
    <w:lvl w:ilvl="0" w:tplc="1AAED2E6">
      <w:start w:val="1"/>
      <w:numFmt w:val="lowerRoman"/>
      <w:lvlText w:val="(%1)"/>
      <w:lvlJc w:val="left"/>
      <w:pPr>
        <w:ind w:left="720" w:hanging="360"/>
      </w:pPr>
      <w:rPr>
        <w:rFonts w:ascii="Calibri" w:hAnsi="Calibri" w:hint="default"/>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C57452"/>
    <w:multiLevelType w:val="hybridMultilevel"/>
    <w:tmpl w:val="60448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7D0BF1"/>
    <w:multiLevelType w:val="multilevel"/>
    <w:tmpl w:val="DCCAD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84959"/>
    <w:multiLevelType w:val="multilevel"/>
    <w:tmpl w:val="35AA19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48270B"/>
    <w:multiLevelType w:val="multilevel"/>
    <w:tmpl w:val="16C0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E5E05"/>
    <w:multiLevelType w:val="multilevel"/>
    <w:tmpl w:val="444E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9125B"/>
    <w:multiLevelType w:val="hybridMultilevel"/>
    <w:tmpl w:val="BA943D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AA312C"/>
    <w:multiLevelType w:val="multilevel"/>
    <w:tmpl w:val="DFD0BBC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2430" w:hanging="135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F834B7"/>
    <w:multiLevelType w:val="hybridMultilevel"/>
    <w:tmpl w:val="985810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F5E1D6B"/>
    <w:multiLevelType w:val="hybridMultilevel"/>
    <w:tmpl w:val="BF64FA6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4A2A28"/>
    <w:multiLevelType w:val="hybridMultilevel"/>
    <w:tmpl w:val="D4C41F1E"/>
    <w:lvl w:ilvl="0" w:tplc="F3C0C84C">
      <w:start w:val="1"/>
      <w:numFmt w:val="bullet"/>
      <w:lvlText w:val="-"/>
      <w:lvlJc w:val="left"/>
      <w:pPr>
        <w:ind w:left="360" w:hanging="360"/>
      </w:pPr>
      <w:rPr>
        <w:rFonts w:ascii="Cambria" w:eastAsiaTheme="minorHAnsi" w:hAnsi="Cambria" w:cstheme="minorBidi" w:hint="default"/>
      </w:rPr>
    </w:lvl>
    <w:lvl w:ilvl="1" w:tplc="BE5C8894" w:tentative="1">
      <w:start w:val="1"/>
      <w:numFmt w:val="bullet"/>
      <w:lvlText w:val="o"/>
      <w:lvlJc w:val="left"/>
      <w:pPr>
        <w:ind w:left="1080" w:hanging="360"/>
      </w:pPr>
      <w:rPr>
        <w:rFonts w:ascii="Courier New" w:hAnsi="Courier New" w:cs="Courier New" w:hint="default"/>
      </w:rPr>
    </w:lvl>
    <w:lvl w:ilvl="2" w:tplc="11A2D7BE" w:tentative="1">
      <w:start w:val="1"/>
      <w:numFmt w:val="bullet"/>
      <w:lvlText w:val=""/>
      <w:lvlJc w:val="left"/>
      <w:pPr>
        <w:ind w:left="1800" w:hanging="360"/>
      </w:pPr>
      <w:rPr>
        <w:rFonts w:ascii="Wingdings" w:hAnsi="Wingdings" w:hint="default"/>
      </w:rPr>
    </w:lvl>
    <w:lvl w:ilvl="3" w:tplc="4C20C474" w:tentative="1">
      <w:start w:val="1"/>
      <w:numFmt w:val="bullet"/>
      <w:lvlText w:val=""/>
      <w:lvlJc w:val="left"/>
      <w:pPr>
        <w:ind w:left="2520" w:hanging="360"/>
      </w:pPr>
      <w:rPr>
        <w:rFonts w:ascii="Symbol" w:hAnsi="Symbol" w:hint="default"/>
      </w:rPr>
    </w:lvl>
    <w:lvl w:ilvl="4" w:tplc="26C22EF6" w:tentative="1">
      <w:start w:val="1"/>
      <w:numFmt w:val="bullet"/>
      <w:lvlText w:val="o"/>
      <w:lvlJc w:val="left"/>
      <w:pPr>
        <w:ind w:left="3240" w:hanging="360"/>
      </w:pPr>
      <w:rPr>
        <w:rFonts w:ascii="Courier New" w:hAnsi="Courier New" w:cs="Courier New" w:hint="default"/>
      </w:rPr>
    </w:lvl>
    <w:lvl w:ilvl="5" w:tplc="076C2144" w:tentative="1">
      <w:start w:val="1"/>
      <w:numFmt w:val="bullet"/>
      <w:lvlText w:val=""/>
      <w:lvlJc w:val="left"/>
      <w:pPr>
        <w:ind w:left="3960" w:hanging="360"/>
      </w:pPr>
      <w:rPr>
        <w:rFonts w:ascii="Wingdings" w:hAnsi="Wingdings" w:hint="default"/>
      </w:rPr>
    </w:lvl>
    <w:lvl w:ilvl="6" w:tplc="768A24A2" w:tentative="1">
      <w:start w:val="1"/>
      <w:numFmt w:val="bullet"/>
      <w:lvlText w:val=""/>
      <w:lvlJc w:val="left"/>
      <w:pPr>
        <w:ind w:left="4680" w:hanging="360"/>
      </w:pPr>
      <w:rPr>
        <w:rFonts w:ascii="Symbol" w:hAnsi="Symbol" w:hint="default"/>
      </w:rPr>
    </w:lvl>
    <w:lvl w:ilvl="7" w:tplc="E460E5D0" w:tentative="1">
      <w:start w:val="1"/>
      <w:numFmt w:val="bullet"/>
      <w:lvlText w:val="o"/>
      <w:lvlJc w:val="left"/>
      <w:pPr>
        <w:ind w:left="5400" w:hanging="360"/>
      </w:pPr>
      <w:rPr>
        <w:rFonts w:ascii="Courier New" w:hAnsi="Courier New" w:cs="Courier New" w:hint="default"/>
      </w:rPr>
    </w:lvl>
    <w:lvl w:ilvl="8" w:tplc="E6666DCE" w:tentative="1">
      <w:start w:val="1"/>
      <w:numFmt w:val="bullet"/>
      <w:lvlText w:val=""/>
      <w:lvlJc w:val="left"/>
      <w:pPr>
        <w:ind w:left="6120" w:hanging="360"/>
      </w:pPr>
      <w:rPr>
        <w:rFonts w:ascii="Wingdings" w:hAnsi="Wingdings" w:hint="default"/>
      </w:rPr>
    </w:lvl>
  </w:abstractNum>
  <w:abstractNum w:abstractNumId="30" w15:restartNumberingAfterBreak="0">
    <w:nsid w:val="55CF3892"/>
    <w:multiLevelType w:val="hybridMultilevel"/>
    <w:tmpl w:val="C1928E94"/>
    <w:lvl w:ilvl="0" w:tplc="13AAE952">
      <w:start w:val="1"/>
      <w:numFmt w:val="bullet"/>
      <w:lvlText w:val="-"/>
      <w:lvlJc w:val="left"/>
      <w:pPr>
        <w:ind w:left="360" w:hanging="360"/>
      </w:pPr>
      <w:rPr>
        <w:rFonts w:ascii="Cambria" w:eastAsiaTheme="minorHAnsi" w:hAnsi="Cambria" w:cstheme="minorBidi" w:hint="default"/>
      </w:rPr>
    </w:lvl>
    <w:lvl w:ilvl="1" w:tplc="A33485EA" w:tentative="1">
      <w:start w:val="1"/>
      <w:numFmt w:val="bullet"/>
      <w:lvlText w:val="o"/>
      <w:lvlJc w:val="left"/>
      <w:pPr>
        <w:ind w:left="1080" w:hanging="360"/>
      </w:pPr>
      <w:rPr>
        <w:rFonts w:ascii="Courier New" w:hAnsi="Courier New" w:cs="Courier New" w:hint="default"/>
      </w:rPr>
    </w:lvl>
    <w:lvl w:ilvl="2" w:tplc="F58A400C" w:tentative="1">
      <w:start w:val="1"/>
      <w:numFmt w:val="bullet"/>
      <w:lvlText w:val=""/>
      <w:lvlJc w:val="left"/>
      <w:pPr>
        <w:ind w:left="1800" w:hanging="360"/>
      </w:pPr>
      <w:rPr>
        <w:rFonts w:ascii="Wingdings" w:hAnsi="Wingdings" w:hint="default"/>
      </w:rPr>
    </w:lvl>
    <w:lvl w:ilvl="3" w:tplc="7D4C419E" w:tentative="1">
      <w:start w:val="1"/>
      <w:numFmt w:val="bullet"/>
      <w:lvlText w:val=""/>
      <w:lvlJc w:val="left"/>
      <w:pPr>
        <w:ind w:left="2520" w:hanging="360"/>
      </w:pPr>
      <w:rPr>
        <w:rFonts w:ascii="Symbol" w:hAnsi="Symbol" w:hint="default"/>
      </w:rPr>
    </w:lvl>
    <w:lvl w:ilvl="4" w:tplc="B844A028" w:tentative="1">
      <w:start w:val="1"/>
      <w:numFmt w:val="bullet"/>
      <w:lvlText w:val="o"/>
      <w:lvlJc w:val="left"/>
      <w:pPr>
        <w:ind w:left="3240" w:hanging="360"/>
      </w:pPr>
      <w:rPr>
        <w:rFonts w:ascii="Courier New" w:hAnsi="Courier New" w:cs="Courier New" w:hint="default"/>
      </w:rPr>
    </w:lvl>
    <w:lvl w:ilvl="5" w:tplc="A2BE041A" w:tentative="1">
      <w:start w:val="1"/>
      <w:numFmt w:val="bullet"/>
      <w:lvlText w:val=""/>
      <w:lvlJc w:val="left"/>
      <w:pPr>
        <w:ind w:left="3960" w:hanging="360"/>
      </w:pPr>
      <w:rPr>
        <w:rFonts w:ascii="Wingdings" w:hAnsi="Wingdings" w:hint="default"/>
      </w:rPr>
    </w:lvl>
    <w:lvl w:ilvl="6" w:tplc="D062E01A" w:tentative="1">
      <w:start w:val="1"/>
      <w:numFmt w:val="bullet"/>
      <w:lvlText w:val=""/>
      <w:lvlJc w:val="left"/>
      <w:pPr>
        <w:ind w:left="4680" w:hanging="360"/>
      </w:pPr>
      <w:rPr>
        <w:rFonts w:ascii="Symbol" w:hAnsi="Symbol" w:hint="default"/>
      </w:rPr>
    </w:lvl>
    <w:lvl w:ilvl="7" w:tplc="E990F764" w:tentative="1">
      <w:start w:val="1"/>
      <w:numFmt w:val="bullet"/>
      <w:lvlText w:val="o"/>
      <w:lvlJc w:val="left"/>
      <w:pPr>
        <w:ind w:left="5400" w:hanging="360"/>
      </w:pPr>
      <w:rPr>
        <w:rFonts w:ascii="Courier New" w:hAnsi="Courier New" w:cs="Courier New" w:hint="default"/>
      </w:rPr>
    </w:lvl>
    <w:lvl w:ilvl="8" w:tplc="70E0D41E" w:tentative="1">
      <w:start w:val="1"/>
      <w:numFmt w:val="bullet"/>
      <w:lvlText w:val=""/>
      <w:lvlJc w:val="left"/>
      <w:pPr>
        <w:ind w:left="6120" w:hanging="360"/>
      </w:pPr>
      <w:rPr>
        <w:rFonts w:ascii="Wingdings" w:hAnsi="Wingdings" w:hint="default"/>
      </w:rPr>
    </w:lvl>
  </w:abstractNum>
  <w:abstractNum w:abstractNumId="31" w15:restartNumberingAfterBreak="0">
    <w:nsid w:val="576754D3"/>
    <w:multiLevelType w:val="multilevel"/>
    <w:tmpl w:val="CE4EFED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F572A"/>
    <w:multiLevelType w:val="multilevel"/>
    <w:tmpl w:val="3B36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828BD"/>
    <w:multiLevelType w:val="multilevel"/>
    <w:tmpl w:val="06462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EE0390"/>
    <w:multiLevelType w:val="hybridMultilevel"/>
    <w:tmpl w:val="7496277A"/>
    <w:lvl w:ilvl="0" w:tplc="C0401308">
      <w:start w:val="1"/>
      <w:numFmt w:val="bullet"/>
      <w:lvlText w:val="-"/>
      <w:lvlJc w:val="left"/>
      <w:pPr>
        <w:ind w:left="360" w:hanging="360"/>
      </w:pPr>
      <w:rPr>
        <w:rFonts w:ascii="Cambria" w:eastAsiaTheme="minorHAnsi" w:hAnsi="Cambria" w:cstheme="minorBidi" w:hint="default"/>
      </w:rPr>
    </w:lvl>
    <w:lvl w:ilvl="1" w:tplc="8248A1E6" w:tentative="1">
      <w:start w:val="1"/>
      <w:numFmt w:val="bullet"/>
      <w:lvlText w:val="o"/>
      <w:lvlJc w:val="left"/>
      <w:pPr>
        <w:ind w:left="1080" w:hanging="360"/>
      </w:pPr>
      <w:rPr>
        <w:rFonts w:ascii="Courier New" w:hAnsi="Courier New" w:cs="Courier New" w:hint="default"/>
      </w:rPr>
    </w:lvl>
    <w:lvl w:ilvl="2" w:tplc="777C4F76" w:tentative="1">
      <w:start w:val="1"/>
      <w:numFmt w:val="bullet"/>
      <w:lvlText w:val=""/>
      <w:lvlJc w:val="left"/>
      <w:pPr>
        <w:ind w:left="1800" w:hanging="360"/>
      </w:pPr>
      <w:rPr>
        <w:rFonts w:ascii="Wingdings" w:hAnsi="Wingdings" w:hint="default"/>
      </w:rPr>
    </w:lvl>
    <w:lvl w:ilvl="3" w:tplc="D37844CE" w:tentative="1">
      <w:start w:val="1"/>
      <w:numFmt w:val="bullet"/>
      <w:lvlText w:val=""/>
      <w:lvlJc w:val="left"/>
      <w:pPr>
        <w:ind w:left="2520" w:hanging="360"/>
      </w:pPr>
      <w:rPr>
        <w:rFonts w:ascii="Symbol" w:hAnsi="Symbol" w:hint="default"/>
      </w:rPr>
    </w:lvl>
    <w:lvl w:ilvl="4" w:tplc="15B2922E" w:tentative="1">
      <w:start w:val="1"/>
      <w:numFmt w:val="bullet"/>
      <w:lvlText w:val="o"/>
      <w:lvlJc w:val="left"/>
      <w:pPr>
        <w:ind w:left="3240" w:hanging="360"/>
      </w:pPr>
      <w:rPr>
        <w:rFonts w:ascii="Courier New" w:hAnsi="Courier New" w:cs="Courier New" w:hint="default"/>
      </w:rPr>
    </w:lvl>
    <w:lvl w:ilvl="5" w:tplc="7BDABBE8" w:tentative="1">
      <w:start w:val="1"/>
      <w:numFmt w:val="bullet"/>
      <w:lvlText w:val=""/>
      <w:lvlJc w:val="left"/>
      <w:pPr>
        <w:ind w:left="3960" w:hanging="360"/>
      </w:pPr>
      <w:rPr>
        <w:rFonts w:ascii="Wingdings" w:hAnsi="Wingdings" w:hint="default"/>
      </w:rPr>
    </w:lvl>
    <w:lvl w:ilvl="6" w:tplc="28221564" w:tentative="1">
      <w:start w:val="1"/>
      <w:numFmt w:val="bullet"/>
      <w:lvlText w:val=""/>
      <w:lvlJc w:val="left"/>
      <w:pPr>
        <w:ind w:left="4680" w:hanging="360"/>
      </w:pPr>
      <w:rPr>
        <w:rFonts w:ascii="Symbol" w:hAnsi="Symbol" w:hint="default"/>
      </w:rPr>
    </w:lvl>
    <w:lvl w:ilvl="7" w:tplc="E6CE10EC" w:tentative="1">
      <w:start w:val="1"/>
      <w:numFmt w:val="bullet"/>
      <w:lvlText w:val="o"/>
      <w:lvlJc w:val="left"/>
      <w:pPr>
        <w:ind w:left="5400" w:hanging="360"/>
      </w:pPr>
      <w:rPr>
        <w:rFonts w:ascii="Courier New" w:hAnsi="Courier New" w:cs="Courier New" w:hint="default"/>
      </w:rPr>
    </w:lvl>
    <w:lvl w:ilvl="8" w:tplc="97401CF0" w:tentative="1">
      <w:start w:val="1"/>
      <w:numFmt w:val="bullet"/>
      <w:lvlText w:val=""/>
      <w:lvlJc w:val="left"/>
      <w:pPr>
        <w:ind w:left="6120" w:hanging="360"/>
      </w:pPr>
      <w:rPr>
        <w:rFonts w:ascii="Wingdings" w:hAnsi="Wingdings" w:hint="default"/>
      </w:rPr>
    </w:lvl>
  </w:abstractNum>
  <w:abstractNum w:abstractNumId="35" w15:restartNumberingAfterBreak="0">
    <w:nsid w:val="5EB17DA8"/>
    <w:multiLevelType w:val="hybridMultilevel"/>
    <w:tmpl w:val="6C7C4560"/>
    <w:lvl w:ilvl="0" w:tplc="6EA06E92">
      <w:start w:val="1"/>
      <w:numFmt w:val="bullet"/>
      <w:lvlText w:val="-"/>
      <w:lvlJc w:val="left"/>
      <w:pPr>
        <w:ind w:left="360" w:hanging="360"/>
      </w:pPr>
      <w:rPr>
        <w:rFonts w:ascii="Cambria" w:eastAsiaTheme="minorHAnsi" w:hAnsi="Cambria" w:cstheme="minorBidi" w:hint="default"/>
      </w:rPr>
    </w:lvl>
    <w:lvl w:ilvl="1" w:tplc="C0262946">
      <w:start w:val="1"/>
      <w:numFmt w:val="bullet"/>
      <w:lvlText w:val="•"/>
      <w:lvlJc w:val="left"/>
      <w:pPr>
        <w:ind w:left="1080" w:hanging="360"/>
      </w:pPr>
      <w:rPr>
        <w:rFonts w:ascii="Aptos" w:eastAsiaTheme="minorHAnsi" w:hAnsi="Aptos" w:cs="Calibri" w:hint="default"/>
      </w:rPr>
    </w:lvl>
    <w:lvl w:ilvl="2" w:tplc="3E603C9E" w:tentative="1">
      <w:start w:val="1"/>
      <w:numFmt w:val="bullet"/>
      <w:lvlText w:val=""/>
      <w:lvlJc w:val="left"/>
      <w:pPr>
        <w:ind w:left="1800" w:hanging="360"/>
      </w:pPr>
      <w:rPr>
        <w:rFonts w:ascii="Wingdings" w:hAnsi="Wingdings" w:hint="default"/>
      </w:rPr>
    </w:lvl>
    <w:lvl w:ilvl="3" w:tplc="DDE8AE36" w:tentative="1">
      <w:start w:val="1"/>
      <w:numFmt w:val="bullet"/>
      <w:lvlText w:val=""/>
      <w:lvlJc w:val="left"/>
      <w:pPr>
        <w:ind w:left="2520" w:hanging="360"/>
      </w:pPr>
      <w:rPr>
        <w:rFonts w:ascii="Symbol" w:hAnsi="Symbol" w:hint="default"/>
      </w:rPr>
    </w:lvl>
    <w:lvl w:ilvl="4" w:tplc="0406B418" w:tentative="1">
      <w:start w:val="1"/>
      <w:numFmt w:val="bullet"/>
      <w:lvlText w:val="o"/>
      <w:lvlJc w:val="left"/>
      <w:pPr>
        <w:ind w:left="3240" w:hanging="360"/>
      </w:pPr>
      <w:rPr>
        <w:rFonts w:ascii="Courier New" w:hAnsi="Courier New" w:cs="Courier New" w:hint="default"/>
      </w:rPr>
    </w:lvl>
    <w:lvl w:ilvl="5" w:tplc="957A16CA" w:tentative="1">
      <w:start w:val="1"/>
      <w:numFmt w:val="bullet"/>
      <w:lvlText w:val=""/>
      <w:lvlJc w:val="left"/>
      <w:pPr>
        <w:ind w:left="3960" w:hanging="360"/>
      </w:pPr>
      <w:rPr>
        <w:rFonts w:ascii="Wingdings" w:hAnsi="Wingdings" w:hint="default"/>
      </w:rPr>
    </w:lvl>
    <w:lvl w:ilvl="6" w:tplc="98101C38" w:tentative="1">
      <w:start w:val="1"/>
      <w:numFmt w:val="bullet"/>
      <w:lvlText w:val=""/>
      <w:lvlJc w:val="left"/>
      <w:pPr>
        <w:ind w:left="4680" w:hanging="360"/>
      </w:pPr>
      <w:rPr>
        <w:rFonts w:ascii="Symbol" w:hAnsi="Symbol" w:hint="default"/>
      </w:rPr>
    </w:lvl>
    <w:lvl w:ilvl="7" w:tplc="F1D41238" w:tentative="1">
      <w:start w:val="1"/>
      <w:numFmt w:val="bullet"/>
      <w:lvlText w:val="o"/>
      <w:lvlJc w:val="left"/>
      <w:pPr>
        <w:ind w:left="5400" w:hanging="360"/>
      </w:pPr>
      <w:rPr>
        <w:rFonts w:ascii="Courier New" w:hAnsi="Courier New" w:cs="Courier New" w:hint="default"/>
      </w:rPr>
    </w:lvl>
    <w:lvl w:ilvl="8" w:tplc="6BBA21F6" w:tentative="1">
      <w:start w:val="1"/>
      <w:numFmt w:val="bullet"/>
      <w:lvlText w:val=""/>
      <w:lvlJc w:val="left"/>
      <w:pPr>
        <w:ind w:left="6120" w:hanging="360"/>
      </w:pPr>
      <w:rPr>
        <w:rFonts w:ascii="Wingdings" w:hAnsi="Wingdings" w:hint="default"/>
      </w:rPr>
    </w:lvl>
  </w:abstractNum>
  <w:abstractNum w:abstractNumId="36" w15:restartNumberingAfterBreak="0">
    <w:nsid w:val="64736CCD"/>
    <w:multiLevelType w:val="hybridMultilevel"/>
    <w:tmpl w:val="3620B4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E474C0"/>
    <w:multiLevelType w:val="hybridMultilevel"/>
    <w:tmpl w:val="1BE8F4A6"/>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BF5343"/>
    <w:multiLevelType w:val="hybridMultilevel"/>
    <w:tmpl w:val="AF5E5DE8"/>
    <w:lvl w:ilvl="0" w:tplc="CCA68DD6">
      <w:start w:val="1"/>
      <w:numFmt w:val="bullet"/>
      <w:lvlText w:val="-"/>
      <w:lvlJc w:val="left"/>
      <w:pPr>
        <w:ind w:left="360" w:hanging="360"/>
      </w:pPr>
      <w:rPr>
        <w:rFonts w:ascii="Cambria" w:eastAsiaTheme="minorHAnsi" w:hAnsi="Cambria" w:cstheme="minorBidi" w:hint="default"/>
      </w:rPr>
    </w:lvl>
    <w:lvl w:ilvl="1" w:tplc="B23C41E6" w:tentative="1">
      <w:start w:val="1"/>
      <w:numFmt w:val="bullet"/>
      <w:lvlText w:val="o"/>
      <w:lvlJc w:val="left"/>
      <w:pPr>
        <w:ind w:left="1080" w:hanging="360"/>
      </w:pPr>
      <w:rPr>
        <w:rFonts w:ascii="Courier New" w:hAnsi="Courier New" w:cs="Courier New" w:hint="default"/>
      </w:rPr>
    </w:lvl>
    <w:lvl w:ilvl="2" w:tplc="8D767D78" w:tentative="1">
      <w:start w:val="1"/>
      <w:numFmt w:val="bullet"/>
      <w:lvlText w:val=""/>
      <w:lvlJc w:val="left"/>
      <w:pPr>
        <w:ind w:left="1800" w:hanging="360"/>
      </w:pPr>
      <w:rPr>
        <w:rFonts w:ascii="Wingdings" w:hAnsi="Wingdings" w:hint="default"/>
      </w:rPr>
    </w:lvl>
    <w:lvl w:ilvl="3" w:tplc="0C2066E4" w:tentative="1">
      <w:start w:val="1"/>
      <w:numFmt w:val="bullet"/>
      <w:lvlText w:val=""/>
      <w:lvlJc w:val="left"/>
      <w:pPr>
        <w:ind w:left="2520" w:hanging="360"/>
      </w:pPr>
      <w:rPr>
        <w:rFonts w:ascii="Symbol" w:hAnsi="Symbol" w:hint="default"/>
      </w:rPr>
    </w:lvl>
    <w:lvl w:ilvl="4" w:tplc="8FF88538" w:tentative="1">
      <w:start w:val="1"/>
      <w:numFmt w:val="bullet"/>
      <w:lvlText w:val="o"/>
      <w:lvlJc w:val="left"/>
      <w:pPr>
        <w:ind w:left="3240" w:hanging="360"/>
      </w:pPr>
      <w:rPr>
        <w:rFonts w:ascii="Courier New" w:hAnsi="Courier New" w:cs="Courier New" w:hint="default"/>
      </w:rPr>
    </w:lvl>
    <w:lvl w:ilvl="5" w:tplc="253CE928" w:tentative="1">
      <w:start w:val="1"/>
      <w:numFmt w:val="bullet"/>
      <w:lvlText w:val=""/>
      <w:lvlJc w:val="left"/>
      <w:pPr>
        <w:ind w:left="3960" w:hanging="360"/>
      </w:pPr>
      <w:rPr>
        <w:rFonts w:ascii="Wingdings" w:hAnsi="Wingdings" w:hint="default"/>
      </w:rPr>
    </w:lvl>
    <w:lvl w:ilvl="6" w:tplc="31167568" w:tentative="1">
      <w:start w:val="1"/>
      <w:numFmt w:val="bullet"/>
      <w:lvlText w:val=""/>
      <w:lvlJc w:val="left"/>
      <w:pPr>
        <w:ind w:left="4680" w:hanging="360"/>
      </w:pPr>
      <w:rPr>
        <w:rFonts w:ascii="Symbol" w:hAnsi="Symbol" w:hint="default"/>
      </w:rPr>
    </w:lvl>
    <w:lvl w:ilvl="7" w:tplc="96803CCC" w:tentative="1">
      <w:start w:val="1"/>
      <w:numFmt w:val="bullet"/>
      <w:lvlText w:val="o"/>
      <w:lvlJc w:val="left"/>
      <w:pPr>
        <w:ind w:left="5400" w:hanging="360"/>
      </w:pPr>
      <w:rPr>
        <w:rFonts w:ascii="Courier New" w:hAnsi="Courier New" w:cs="Courier New" w:hint="default"/>
      </w:rPr>
    </w:lvl>
    <w:lvl w:ilvl="8" w:tplc="C674DBE6" w:tentative="1">
      <w:start w:val="1"/>
      <w:numFmt w:val="bullet"/>
      <w:lvlText w:val=""/>
      <w:lvlJc w:val="left"/>
      <w:pPr>
        <w:ind w:left="6120" w:hanging="360"/>
      </w:pPr>
      <w:rPr>
        <w:rFonts w:ascii="Wingdings" w:hAnsi="Wingdings" w:hint="default"/>
      </w:rPr>
    </w:lvl>
  </w:abstractNum>
  <w:abstractNum w:abstractNumId="39" w15:restartNumberingAfterBreak="0">
    <w:nsid w:val="73402ED4"/>
    <w:multiLevelType w:val="hybridMultilevel"/>
    <w:tmpl w:val="D2DE2A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39B5E11"/>
    <w:multiLevelType w:val="hybridMultilevel"/>
    <w:tmpl w:val="F6C4754C"/>
    <w:lvl w:ilvl="0" w:tplc="C5CE114E">
      <w:start w:val="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970143"/>
    <w:multiLevelType w:val="multilevel"/>
    <w:tmpl w:val="3A56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9349F"/>
    <w:multiLevelType w:val="multilevel"/>
    <w:tmpl w:val="EE38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C412D1"/>
    <w:multiLevelType w:val="multilevel"/>
    <w:tmpl w:val="DF00B6A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6817E0"/>
    <w:multiLevelType w:val="multilevel"/>
    <w:tmpl w:val="3336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357887">
    <w:abstractNumId w:val="0"/>
  </w:num>
  <w:num w:numId="2" w16cid:durableId="452751077">
    <w:abstractNumId w:val="14"/>
  </w:num>
  <w:num w:numId="3" w16cid:durableId="2108843307">
    <w:abstractNumId w:val="38"/>
  </w:num>
  <w:num w:numId="4" w16cid:durableId="437021681">
    <w:abstractNumId w:val="30"/>
  </w:num>
  <w:num w:numId="5" w16cid:durableId="1158762980">
    <w:abstractNumId w:val="34"/>
  </w:num>
  <w:num w:numId="6" w16cid:durableId="894505590">
    <w:abstractNumId w:val="35"/>
  </w:num>
  <w:num w:numId="7" w16cid:durableId="113327329">
    <w:abstractNumId w:val="29"/>
  </w:num>
  <w:num w:numId="8" w16cid:durableId="785466082">
    <w:abstractNumId w:val="24"/>
  </w:num>
  <w:num w:numId="9" w16cid:durableId="1896157561">
    <w:abstractNumId w:val="8"/>
  </w:num>
  <w:num w:numId="10" w16cid:durableId="1907253168">
    <w:abstractNumId w:val="41"/>
  </w:num>
  <w:num w:numId="11" w16cid:durableId="939410721">
    <w:abstractNumId w:val="7"/>
  </w:num>
  <w:num w:numId="12" w16cid:durableId="1523468880">
    <w:abstractNumId w:val="23"/>
  </w:num>
  <w:num w:numId="13" w16cid:durableId="121195308">
    <w:abstractNumId w:val="42"/>
  </w:num>
  <w:num w:numId="14" w16cid:durableId="2023432808">
    <w:abstractNumId w:val="32"/>
  </w:num>
  <w:num w:numId="15" w16cid:durableId="655229552">
    <w:abstractNumId w:val="44"/>
  </w:num>
  <w:num w:numId="16" w16cid:durableId="1866019346">
    <w:abstractNumId w:val="17"/>
  </w:num>
  <w:num w:numId="17" w16cid:durableId="1585334622">
    <w:abstractNumId w:val="6"/>
  </w:num>
  <w:num w:numId="18" w16cid:durableId="955671912">
    <w:abstractNumId w:val="43"/>
  </w:num>
  <w:num w:numId="19" w16cid:durableId="335808876">
    <w:abstractNumId w:val="2"/>
  </w:num>
  <w:num w:numId="20" w16cid:durableId="105582943">
    <w:abstractNumId w:val="11"/>
  </w:num>
  <w:num w:numId="21" w16cid:durableId="2130081630">
    <w:abstractNumId w:val="4"/>
  </w:num>
  <w:num w:numId="22" w16cid:durableId="521944795">
    <w:abstractNumId w:val="5"/>
  </w:num>
  <w:num w:numId="23" w16cid:durableId="858930723">
    <w:abstractNumId w:val="12"/>
  </w:num>
  <w:num w:numId="24" w16cid:durableId="1701472967">
    <w:abstractNumId w:val="26"/>
  </w:num>
  <w:num w:numId="25" w16cid:durableId="815123">
    <w:abstractNumId w:val="10"/>
  </w:num>
  <w:num w:numId="26" w16cid:durableId="675883542">
    <w:abstractNumId w:val="16"/>
  </w:num>
  <w:num w:numId="27" w16cid:durableId="972323203">
    <w:abstractNumId w:val="28"/>
  </w:num>
  <w:num w:numId="28" w16cid:durableId="1333877854">
    <w:abstractNumId w:val="18"/>
  </w:num>
  <w:num w:numId="29" w16cid:durableId="2126464069">
    <w:abstractNumId w:val="27"/>
  </w:num>
  <w:num w:numId="30" w16cid:durableId="1491676844">
    <w:abstractNumId w:val="20"/>
  </w:num>
  <w:num w:numId="31" w16cid:durableId="925267424">
    <w:abstractNumId w:val="39"/>
  </w:num>
  <w:num w:numId="32" w16cid:durableId="2096125731">
    <w:abstractNumId w:val="15"/>
  </w:num>
  <w:num w:numId="33" w16cid:durableId="1001160483">
    <w:abstractNumId w:val="19"/>
  </w:num>
  <w:num w:numId="34" w16cid:durableId="1113015736">
    <w:abstractNumId w:val="36"/>
  </w:num>
  <w:num w:numId="35" w16cid:durableId="755590911">
    <w:abstractNumId w:val="37"/>
  </w:num>
  <w:num w:numId="36" w16cid:durableId="1368021367">
    <w:abstractNumId w:val="1"/>
  </w:num>
  <w:num w:numId="37" w16cid:durableId="2088383689">
    <w:abstractNumId w:val="25"/>
  </w:num>
  <w:num w:numId="38" w16cid:durableId="1008403708">
    <w:abstractNumId w:val="21"/>
  </w:num>
  <w:num w:numId="39" w16cid:durableId="1903129141">
    <w:abstractNumId w:val="3"/>
  </w:num>
  <w:num w:numId="40" w16cid:durableId="460929270">
    <w:abstractNumId w:val="40"/>
  </w:num>
  <w:num w:numId="41" w16cid:durableId="1395815932">
    <w:abstractNumId w:val="9"/>
  </w:num>
  <w:num w:numId="42" w16cid:durableId="1454906912">
    <w:abstractNumId w:val="31"/>
  </w:num>
  <w:num w:numId="43" w16cid:durableId="2104106740">
    <w:abstractNumId w:val="33"/>
  </w:num>
  <w:num w:numId="44" w16cid:durableId="1352104813">
    <w:abstractNumId w:val="22"/>
  </w:num>
  <w:num w:numId="45" w16cid:durableId="1179387212">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09"/>
    <w:rsid w:val="00023119"/>
    <w:rsid w:val="000501B5"/>
    <w:rsid w:val="00062A46"/>
    <w:rsid w:val="0011580E"/>
    <w:rsid w:val="00132A0A"/>
    <w:rsid w:val="00133BB4"/>
    <w:rsid w:val="001649BC"/>
    <w:rsid w:val="00182622"/>
    <w:rsid w:val="00195772"/>
    <w:rsid w:val="001A3831"/>
    <w:rsid w:val="001C2F1E"/>
    <w:rsid w:val="001C435B"/>
    <w:rsid w:val="001F74AB"/>
    <w:rsid w:val="0020250E"/>
    <w:rsid w:val="00216CAF"/>
    <w:rsid w:val="00222656"/>
    <w:rsid w:val="00236F34"/>
    <w:rsid w:val="00243BBB"/>
    <w:rsid w:val="00246351"/>
    <w:rsid w:val="00252A23"/>
    <w:rsid w:val="00296CD3"/>
    <w:rsid w:val="002D71EF"/>
    <w:rsid w:val="002E563A"/>
    <w:rsid w:val="002F3BC6"/>
    <w:rsid w:val="003007BA"/>
    <w:rsid w:val="00317709"/>
    <w:rsid w:val="00347340"/>
    <w:rsid w:val="00367AF1"/>
    <w:rsid w:val="00387B16"/>
    <w:rsid w:val="003A718E"/>
    <w:rsid w:val="003A7C09"/>
    <w:rsid w:val="003C573C"/>
    <w:rsid w:val="003D4198"/>
    <w:rsid w:val="003F38BA"/>
    <w:rsid w:val="00403EEB"/>
    <w:rsid w:val="004758F0"/>
    <w:rsid w:val="004B7D67"/>
    <w:rsid w:val="004E7405"/>
    <w:rsid w:val="00511A08"/>
    <w:rsid w:val="00526BAF"/>
    <w:rsid w:val="00542E16"/>
    <w:rsid w:val="00580962"/>
    <w:rsid w:val="00590A1D"/>
    <w:rsid w:val="00592012"/>
    <w:rsid w:val="005C2441"/>
    <w:rsid w:val="005C4EF8"/>
    <w:rsid w:val="005E5794"/>
    <w:rsid w:val="006040C0"/>
    <w:rsid w:val="006219FD"/>
    <w:rsid w:val="00625855"/>
    <w:rsid w:val="00644241"/>
    <w:rsid w:val="00661DAA"/>
    <w:rsid w:val="00670477"/>
    <w:rsid w:val="0068719F"/>
    <w:rsid w:val="006B003F"/>
    <w:rsid w:val="006C26E5"/>
    <w:rsid w:val="006D56EE"/>
    <w:rsid w:val="006D727A"/>
    <w:rsid w:val="006E57C8"/>
    <w:rsid w:val="006F7CDA"/>
    <w:rsid w:val="007056D7"/>
    <w:rsid w:val="00721BAA"/>
    <w:rsid w:val="007326CC"/>
    <w:rsid w:val="00743AB3"/>
    <w:rsid w:val="007504FB"/>
    <w:rsid w:val="0077523E"/>
    <w:rsid w:val="007B2C55"/>
    <w:rsid w:val="007B4B5E"/>
    <w:rsid w:val="007B645A"/>
    <w:rsid w:val="007C0020"/>
    <w:rsid w:val="00802B5B"/>
    <w:rsid w:val="0082370F"/>
    <w:rsid w:val="008305F9"/>
    <w:rsid w:val="008468CB"/>
    <w:rsid w:val="008629DF"/>
    <w:rsid w:val="008801E8"/>
    <w:rsid w:val="00882F59"/>
    <w:rsid w:val="008847A0"/>
    <w:rsid w:val="008A6114"/>
    <w:rsid w:val="008A6E8D"/>
    <w:rsid w:val="008B048C"/>
    <w:rsid w:val="008B1B25"/>
    <w:rsid w:val="008B24F6"/>
    <w:rsid w:val="00931A3C"/>
    <w:rsid w:val="00946762"/>
    <w:rsid w:val="009919BB"/>
    <w:rsid w:val="009A78D2"/>
    <w:rsid w:val="009A7E7C"/>
    <w:rsid w:val="009E35F8"/>
    <w:rsid w:val="009F0027"/>
    <w:rsid w:val="00A034E7"/>
    <w:rsid w:val="00A177D2"/>
    <w:rsid w:val="00A2320D"/>
    <w:rsid w:val="00A57D4D"/>
    <w:rsid w:val="00A621B9"/>
    <w:rsid w:val="00A64BE5"/>
    <w:rsid w:val="00A72906"/>
    <w:rsid w:val="00A844F5"/>
    <w:rsid w:val="00A95696"/>
    <w:rsid w:val="00AB27A4"/>
    <w:rsid w:val="00AB2B61"/>
    <w:rsid w:val="00AD7749"/>
    <w:rsid w:val="00AE015D"/>
    <w:rsid w:val="00AE0471"/>
    <w:rsid w:val="00AE051D"/>
    <w:rsid w:val="00AE5EDA"/>
    <w:rsid w:val="00AF1C25"/>
    <w:rsid w:val="00B0626D"/>
    <w:rsid w:val="00B16B74"/>
    <w:rsid w:val="00B245F2"/>
    <w:rsid w:val="00B34DF3"/>
    <w:rsid w:val="00B636A6"/>
    <w:rsid w:val="00B73151"/>
    <w:rsid w:val="00B8553C"/>
    <w:rsid w:val="00BA77B2"/>
    <w:rsid w:val="00BC22BE"/>
    <w:rsid w:val="00BC3AB9"/>
    <w:rsid w:val="00BC7047"/>
    <w:rsid w:val="00BE5E0B"/>
    <w:rsid w:val="00C135F3"/>
    <w:rsid w:val="00C27FF5"/>
    <w:rsid w:val="00C345D8"/>
    <w:rsid w:val="00C37682"/>
    <w:rsid w:val="00C57F48"/>
    <w:rsid w:val="00C71F21"/>
    <w:rsid w:val="00C84E80"/>
    <w:rsid w:val="00CA4278"/>
    <w:rsid w:val="00CC296A"/>
    <w:rsid w:val="00CC4CC6"/>
    <w:rsid w:val="00CC5272"/>
    <w:rsid w:val="00CE37CC"/>
    <w:rsid w:val="00D01A50"/>
    <w:rsid w:val="00D1479F"/>
    <w:rsid w:val="00D34DFA"/>
    <w:rsid w:val="00D401FA"/>
    <w:rsid w:val="00D635ED"/>
    <w:rsid w:val="00D671E1"/>
    <w:rsid w:val="00D9388C"/>
    <w:rsid w:val="00D955F6"/>
    <w:rsid w:val="00DB1330"/>
    <w:rsid w:val="00DE0B35"/>
    <w:rsid w:val="00DE423E"/>
    <w:rsid w:val="00DE5854"/>
    <w:rsid w:val="00DF30B4"/>
    <w:rsid w:val="00E03792"/>
    <w:rsid w:val="00E350FA"/>
    <w:rsid w:val="00E55767"/>
    <w:rsid w:val="00E644ED"/>
    <w:rsid w:val="00E73C91"/>
    <w:rsid w:val="00E869FC"/>
    <w:rsid w:val="00EA7D5B"/>
    <w:rsid w:val="00EB0BDE"/>
    <w:rsid w:val="00EB7B8A"/>
    <w:rsid w:val="00EC0A53"/>
    <w:rsid w:val="00EC14F7"/>
    <w:rsid w:val="00ED2E7A"/>
    <w:rsid w:val="00F2391C"/>
    <w:rsid w:val="00F34F90"/>
    <w:rsid w:val="00F748BE"/>
    <w:rsid w:val="00F96E73"/>
    <w:rsid w:val="00FB755F"/>
    <w:rsid w:val="00FC5D16"/>
    <w:rsid w:val="00FC64C5"/>
    <w:rsid w:val="00FD01A6"/>
    <w:rsid w:val="00FE2E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3B0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E5E0B"/>
    <w:pPr>
      <w:numPr>
        <w:numId w:val="28"/>
      </w:numPr>
      <w:shd w:val="clear" w:color="auto" w:fill="D9D9D9" w:themeFill="background1" w:themeFillShade="D9"/>
      <w:ind w:left="0" w:firstLine="0"/>
      <w:jc w:val="center"/>
      <w:outlineLvl w:val="0"/>
    </w:pPr>
    <w:rPr>
      <w:rFonts w:ascii="Aptos" w:hAnsi="Aptos"/>
      <w:b/>
      <w:bCs/>
      <w:sz w:val="28"/>
      <w:szCs w:val="28"/>
    </w:rPr>
  </w:style>
  <w:style w:type="paragraph" w:styleId="Heading2">
    <w:name w:val="heading 2"/>
    <w:basedOn w:val="ListParagraph"/>
    <w:next w:val="Normal"/>
    <w:link w:val="Heading2Char"/>
    <w:uiPriority w:val="9"/>
    <w:unhideWhenUsed/>
    <w:qFormat/>
    <w:rsid w:val="00BE5E0B"/>
    <w:pPr>
      <w:numPr>
        <w:ilvl w:val="1"/>
        <w:numId w:val="28"/>
      </w:numPr>
      <w:spacing w:before="480"/>
      <w:ind w:left="1077"/>
      <w:contextualSpacing w:val="0"/>
      <w:jc w:val="both"/>
      <w:outlineLvl w:val="1"/>
    </w:pPr>
    <w:rPr>
      <w:rFonts w:ascii="Aptos" w:hAnsi="Aptos"/>
      <w:b/>
      <w:bCs/>
    </w:rPr>
  </w:style>
  <w:style w:type="paragraph" w:styleId="Heading3">
    <w:name w:val="heading 3"/>
    <w:basedOn w:val="Heading2"/>
    <w:next w:val="Normal"/>
    <w:link w:val="Heading3Char"/>
    <w:uiPriority w:val="9"/>
    <w:unhideWhenUsed/>
    <w:qFormat/>
    <w:rsid w:val="00BE5E0B"/>
    <w:pPr>
      <w:numPr>
        <w:ilvl w:val="2"/>
      </w:numPr>
      <w:outlineLvl w:val="2"/>
    </w:pPr>
    <w:rPr>
      <w:rFonts w:cs="Calibri"/>
    </w:rPr>
  </w:style>
  <w:style w:type="paragraph" w:styleId="Heading4">
    <w:name w:val="heading 4"/>
    <w:basedOn w:val="ListParagraph"/>
    <w:next w:val="Normal"/>
    <w:link w:val="Heading4Char"/>
    <w:uiPriority w:val="9"/>
    <w:unhideWhenUsed/>
    <w:qFormat/>
    <w:rsid w:val="005C4EF8"/>
    <w:pPr>
      <w:numPr>
        <w:ilvl w:val="1"/>
        <w:numId w:val="1"/>
      </w:numPr>
      <w:jc w:val="both"/>
      <w:outlineLvl w:val="3"/>
    </w:pPr>
    <w:rPr>
      <w:rFonts w:ascii="Aptos" w:hAnsi="Aptos" w:cs="Calibri"/>
      <w:b/>
      <w:bCs/>
    </w:rPr>
  </w:style>
  <w:style w:type="paragraph" w:styleId="Heading5">
    <w:name w:val="heading 5"/>
    <w:basedOn w:val="Normal"/>
    <w:next w:val="Normal"/>
    <w:link w:val="Heading5Char"/>
    <w:uiPriority w:val="9"/>
    <w:semiHidden/>
    <w:unhideWhenUsed/>
    <w:qFormat/>
    <w:rsid w:val="003A7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E0B"/>
    <w:rPr>
      <w:rFonts w:ascii="Aptos" w:hAnsi="Aptos"/>
      <w:b/>
      <w:bCs/>
      <w:sz w:val="28"/>
      <w:szCs w:val="28"/>
      <w:shd w:val="clear" w:color="auto" w:fill="D9D9D9" w:themeFill="background1" w:themeFillShade="D9"/>
    </w:rPr>
  </w:style>
  <w:style w:type="character" w:customStyle="1" w:styleId="Heading2Char">
    <w:name w:val="Heading 2 Char"/>
    <w:basedOn w:val="DefaultParagraphFont"/>
    <w:link w:val="Heading2"/>
    <w:uiPriority w:val="9"/>
    <w:rsid w:val="00BE5E0B"/>
    <w:rPr>
      <w:rFonts w:ascii="Aptos" w:hAnsi="Aptos"/>
      <w:b/>
      <w:bCs/>
    </w:rPr>
  </w:style>
  <w:style w:type="character" w:customStyle="1" w:styleId="Heading3Char">
    <w:name w:val="Heading 3 Char"/>
    <w:basedOn w:val="DefaultParagraphFont"/>
    <w:link w:val="Heading3"/>
    <w:uiPriority w:val="9"/>
    <w:rsid w:val="00BE5E0B"/>
    <w:rPr>
      <w:rFonts w:ascii="Aptos" w:hAnsi="Aptos" w:cs="Calibri"/>
      <w:b/>
      <w:bCs/>
    </w:rPr>
  </w:style>
  <w:style w:type="character" w:customStyle="1" w:styleId="Heading4Char">
    <w:name w:val="Heading 4 Char"/>
    <w:basedOn w:val="DefaultParagraphFont"/>
    <w:link w:val="Heading4"/>
    <w:uiPriority w:val="9"/>
    <w:rsid w:val="005C4EF8"/>
    <w:rPr>
      <w:rFonts w:ascii="Aptos" w:hAnsi="Aptos" w:cs="Calibri"/>
      <w:b/>
      <w:bCs/>
    </w:rPr>
  </w:style>
  <w:style w:type="character" w:customStyle="1" w:styleId="Heading5Char">
    <w:name w:val="Heading 5 Char"/>
    <w:basedOn w:val="DefaultParagraphFont"/>
    <w:link w:val="Heading5"/>
    <w:uiPriority w:val="9"/>
    <w:semiHidden/>
    <w:rsid w:val="003A7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C09"/>
    <w:rPr>
      <w:rFonts w:eastAsiaTheme="majorEastAsia" w:cstheme="majorBidi"/>
      <w:color w:val="272727" w:themeColor="text1" w:themeTint="D8"/>
    </w:rPr>
  </w:style>
  <w:style w:type="paragraph" w:styleId="Title">
    <w:name w:val="Title"/>
    <w:basedOn w:val="Normal"/>
    <w:next w:val="Normal"/>
    <w:link w:val="TitleChar"/>
    <w:uiPriority w:val="10"/>
    <w:qFormat/>
    <w:rsid w:val="003A7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C09"/>
    <w:pPr>
      <w:spacing w:before="160"/>
      <w:jc w:val="center"/>
    </w:pPr>
    <w:rPr>
      <w:i/>
      <w:iCs/>
      <w:color w:val="404040" w:themeColor="text1" w:themeTint="BF"/>
    </w:rPr>
  </w:style>
  <w:style w:type="character" w:customStyle="1" w:styleId="QuoteChar">
    <w:name w:val="Quote Char"/>
    <w:basedOn w:val="DefaultParagraphFont"/>
    <w:link w:val="Quote"/>
    <w:uiPriority w:val="29"/>
    <w:rsid w:val="003A7C09"/>
    <w:rPr>
      <w:i/>
      <w:iCs/>
      <w:color w:val="404040" w:themeColor="text1" w:themeTint="BF"/>
    </w:rPr>
  </w:style>
  <w:style w:type="paragraph" w:styleId="ListParagraph">
    <w:name w:val="List Paragraph"/>
    <w:aliases w:val="Bullet 1,Bullets,Dot,Dot pt,F5 List Paragraph,Ha,Indicator Text,List Paragraph (numbered (a)),List Paragraph Char Char Char,List Paragraph1,No Spacing1,Numbered Para 1,Numbered Paragraph,References,ReferencesCxSpLast,lp1"/>
    <w:basedOn w:val="Normal"/>
    <w:link w:val="ListParagraphChar"/>
    <w:uiPriority w:val="34"/>
    <w:qFormat/>
    <w:rsid w:val="003A7C09"/>
    <w:pPr>
      <w:ind w:left="720"/>
      <w:contextualSpacing/>
    </w:pPr>
  </w:style>
  <w:style w:type="character" w:styleId="IntenseEmphasis">
    <w:name w:val="Intense Emphasis"/>
    <w:basedOn w:val="DefaultParagraphFont"/>
    <w:uiPriority w:val="21"/>
    <w:qFormat/>
    <w:rsid w:val="003A7C09"/>
    <w:rPr>
      <w:i/>
      <w:iCs/>
      <w:color w:val="2F5496" w:themeColor="accent1" w:themeShade="BF"/>
    </w:rPr>
  </w:style>
  <w:style w:type="paragraph" w:styleId="IntenseQuote">
    <w:name w:val="Intense Quote"/>
    <w:basedOn w:val="Normal"/>
    <w:next w:val="Normal"/>
    <w:link w:val="IntenseQuoteChar"/>
    <w:uiPriority w:val="30"/>
    <w:qFormat/>
    <w:rsid w:val="003A7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C09"/>
    <w:rPr>
      <w:i/>
      <w:iCs/>
      <w:color w:val="2F5496" w:themeColor="accent1" w:themeShade="BF"/>
    </w:rPr>
  </w:style>
  <w:style w:type="character" w:styleId="IntenseReference">
    <w:name w:val="Intense Reference"/>
    <w:basedOn w:val="DefaultParagraphFont"/>
    <w:uiPriority w:val="32"/>
    <w:qFormat/>
    <w:rsid w:val="003A7C09"/>
    <w:rPr>
      <w:b/>
      <w:bCs/>
      <w:smallCaps/>
      <w:color w:val="2F5496" w:themeColor="accent1" w:themeShade="BF"/>
      <w:spacing w:val="5"/>
    </w:rPr>
  </w:style>
  <w:style w:type="paragraph" w:styleId="NormalWeb">
    <w:name w:val="Normal (Web)"/>
    <w:basedOn w:val="Normal"/>
    <w:uiPriority w:val="99"/>
    <w:semiHidden/>
    <w:unhideWhenUsed/>
    <w:rsid w:val="006040C0"/>
    <w:rPr>
      <w:rFonts w:ascii="Times New Roman" w:hAnsi="Times New Roman" w:cs="Times New Roman"/>
      <w:sz w:val="24"/>
      <w:szCs w:val="24"/>
    </w:rPr>
  </w:style>
  <w:style w:type="table" w:styleId="TableGrid">
    <w:name w:val="Table Grid"/>
    <w:aliases w:val="BPUA Table,CV table,CV1,EY Table,GFA Table Grid,Plain Table,TNS table,TabelEcorys,Table Grid (Appendix list),Table Grid CFAA,Table long document,Table style,Vale 4,mtbs,none,op,表格样式"/>
    <w:basedOn w:val="TableNormal"/>
    <w:uiPriority w:val="39"/>
    <w:qFormat/>
    <w:rsid w:val="00BC3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003F"/>
    <w:rPr>
      <w:color w:val="0563C1" w:themeColor="hyperlink"/>
      <w:u w:val="single"/>
    </w:rPr>
  </w:style>
  <w:style w:type="character" w:styleId="UnresolvedMention">
    <w:name w:val="Unresolved Mention"/>
    <w:basedOn w:val="DefaultParagraphFont"/>
    <w:uiPriority w:val="99"/>
    <w:semiHidden/>
    <w:unhideWhenUsed/>
    <w:rsid w:val="006B003F"/>
    <w:rPr>
      <w:color w:val="605E5C"/>
      <w:shd w:val="clear" w:color="auto" w:fill="E1DFDD"/>
    </w:rPr>
  </w:style>
  <w:style w:type="character" w:customStyle="1" w:styleId="ListParagraphChar">
    <w:name w:val="List Paragraph Char"/>
    <w:aliases w:val="Bullet 1 Char,Bullets Char,Dot Char,Dot pt Char,F5 List Paragraph Char,Ha Char,Indicator Text Char,List Paragraph (numbered (a)) Char,List Paragraph Char Char Char Char,List Paragraph1 Char,No Spacing1 Char,Numbered Para 1 Char"/>
    <w:basedOn w:val="DefaultParagraphFont"/>
    <w:link w:val="ListParagraph"/>
    <w:uiPriority w:val="34"/>
    <w:qFormat/>
    <w:locked/>
    <w:rsid w:val="001C2F1E"/>
  </w:style>
  <w:style w:type="paragraph" w:styleId="FootnoteText">
    <w:name w:val="footnote text"/>
    <w:basedOn w:val="Normal"/>
    <w:link w:val="FootnoteTextChar"/>
    <w:uiPriority w:val="99"/>
    <w:semiHidden/>
    <w:unhideWhenUsed/>
    <w:rsid w:val="00C345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5D8"/>
    <w:rPr>
      <w:sz w:val="20"/>
      <w:szCs w:val="20"/>
    </w:rPr>
  </w:style>
  <w:style w:type="character" w:styleId="FootnoteReference">
    <w:name w:val="footnote reference"/>
    <w:basedOn w:val="DefaultParagraphFont"/>
    <w:uiPriority w:val="99"/>
    <w:semiHidden/>
    <w:unhideWhenUsed/>
    <w:rsid w:val="00C345D8"/>
    <w:rPr>
      <w:vertAlign w:val="superscript"/>
    </w:rPr>
  </w:style>
  <w:style w:type="paragraph" w:styleId="Header">
    <w:name w:val="header"/>
    <w:basedOn w:val="Normal"/>
    <w:link w:val="HeaderChar"/>
    <w:uiPriority w:val="99"/>
    <w:unhideWhenUsed/>
    <w:rsid w:val="00D401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01FA"/>
  </w:style>
  <w:style w:type="paragraph" w:styleId="Footer">
    <w:name w:val="footer"/>
    <w:basedOn w:val="Normal"/>
    <w:link w:val="FooterChar"/>
    <w:uiPriority w:val="99"/>
    <w:unhideWhenUsed/>
    <w:rsid w:val="00D401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01FA"/>
  </w:style>
  <w:style w:type="paragraph" w:styleId="TOCHeading">
    <w:name w:val="TOC Heading"/>
    <w:basedOn w:val="Heading1"/>
    <w:next w:val="Normal"/>
    <w:uiPriority w:val="39"/>
    <w:unhideWhenUsed/>
    <w:qFormat/>
    <w:rsid w:val="00182622"/>
    <w:pPr>
      <w:keepNext/>
      <w:keepLines/>
      <w:numPr>
        <w:numId w:val="0"/>
      </w:numPr>
      <w:shd w:val="clear" w:color="auto" w:fill="auto"/>
      <w:spacing w:before="240" w:after="0"/>
      <w:contextualSpacing w:val="0"/>
      <w:jc w:val="left"/>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TOC1">
    <w:name w:val="toc 1"/>
    <w:basedOn w:val="Normal"/>
    <w:next w:val="Normal"/>
    <w:autoRedefine/>
    <w:uiPriority w:val="39"/>
    <w:unhideWhenUsed/>
    <w:rsid w:val="00182622"/>
    <w:pPr>
      <w:spacing w:after="100"/>
    </w:pPr>
  </w:style>
  <w:style w:type="paragraph" w:styleId="TOC2">
    <w:name w:val="toc 2"/>
    <w:basedOn w:val="Normal"/>
    <w:next w:val="Normal"/>
    <w:autoRedefine/>
    <w:uiPriority w:val="39"/>
    <w:unhideWhenUsed/>
    <w:rsid w:val="00182622"/>
    <w:pPr>
      <w:spacing w:after="100"/>
      <w:ind w:left="220"/>
    </w:pPr>
  </w:style>
  <w:style w:type="paragraph" w:styleId="TOC3">
    <w:name w:val="toc 3"/>
    <w:basedOn w:val="Normal"/>
    <w:next w:val="Normal"/>
    <w:autoRedefine/>
    <w:uiPriority w:val="39"/>
    <w:unhideWhenUsed/>
    <w:rsid w:val="00182622"/>
    <w:pPr>
      <w:spacing w:after="100"/>
      <w:ind w:left="440"/>
    </w:pPr>
  </w:style>
  <w:style w:type="paragraph" w:styleId="Revision">
    <w:name w:val="Revision"/>
    <w:hidden/>
    <w:uiPriority w:val="99"/>
    <w:semiHidden/>
    <w:rsid w:val="00882F59"/>
    <w:pPr>
      <w:spacing w:after="0" w:line="240" w:lineRule="auto"/>
    </w:pPr>
  </w:style>
  <w:style w:type="character" w:styleId="CommentReference">
    <w:name w:val="annotation reference"/>
    <w:basedOn w:val="DefaultParagraphFont"/>
    <w:uiPriority w:val="99"/>
    <w:semiHidden/>
    <w:unhideWhenUsed/>
    <w:rsid w:val="00B16B74"/>
    <w:rPr>
      <w:sz w:val="16"/>
      <w:szCs w:val="16"/>
    </w:rPr>
  </w:style>
  <w:style w:type="paragraph" w:styleId="CommentText">
    <w:name w:val="annotation text"/>
    <w:basedOn w:val="Normal"/>
    <w:link w:val="CommentTextChar"/>
    <w:uiPriority w:val="99"/>
    <w:unhideWhenUsed/>
    <w:rsid w:val="00B16B74"/>
    <w:pPr>
      <w:spacing w:line="240" w:lineRule="auto"/>
    </w:pPr>
    <w:rPr>
      <w:sz w:val="20"/>
      <w:szCs w:val="20"/>
    </w:rPr>
  </w:style>
  <w:style w:type="character" w:customStyle="1" w:styleId="CommentTextChar">
    <w:name w:val="Comment Text Char"/>
    <w:basedOn w:val="DefaultParagraphFont"/>
    <w:link w:val="CommentText"/>
    <w:uiPriority w:val="99"/>
    <w:rsid w:val="00B16B74"/>
    <w:rPr>
      <w:sz w:val="20"/>
      <w:szCs w:val="20"/>
    </w:rPr>
  </w:style>
  <w:style w:type="paragraph" w:styleId="CommentSubject">
    <w:name w:val="annotation subject"/>
    <w:basedOn w:val="CommentText"/>
    <w:next w:val="CommentText"/>
    <w:link w:val="CommentSubjectChar"/>
    <w:uiPriority w:val="99"/>
    <w:semiHidden/>
    <w:unhideWhenUsed/>
    <w:rsid w:val="00B16B74"/>
    <w:rPr>
      <w:b/>
      <w:bCs/>
    </w:rPr>
  </w:style>
  <w:style w:type="character" w:customStyle="1" w:styleId="CommentSubjectChar">
    <w:name w:val="Comment Subject Char"/>
    <w:basedOn w:val="CommentTextChar"/>
    <w:link w:val="CommentSubject"/>
    <w:uiPriority w:val="99"/>
    <w:semiHidden/>
    <w:rsid w:val="00B16B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gain.nd.edu"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5972D-C359-4380-99C0-61113AB5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27590</Words>
  <Characters>160850</Characters>
  <Application>Microsoft Office Word</Application>
  <DocSecurity>0</DocSecurity>
  <Lines>3153</Lines>
  <Paragraphs>1192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2026-05-06T03:40:00Z</dcterms:created>
  <dcterms:modified xsi:type="dcterms:W3CDTF">2026-05-20T21:36:00Z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2a39d2c5,4c6eae5a,7b4e7fe8</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2026-05-05T09:46:38Z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d4fe419d-afa5-471f-975f-fcd37acaa790</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